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43" w:rsidRDefault="00B07943" w:rsidP="00B07943">
      <w:pPr>
        <w:jc w:val="center"/>
        <w:rPr>
          <w:rFonts w:ascii="Times New Roman" w:hAnsi="Times New Roman"/>
          <w:b/>
        </w:rPr>
      </w:pPr>
      <w:r>
        <w:rPr>
          <w:rFonts w:ascii="Times New Roman" w:hAnsi="Times New Roman"/>
          <w:b/>
        </w:rPr>
        <w:t>PROGRAM ASSESSMENT REPORTS</w:t>
      </w:r>
    </w:p>
    <w:p w:rsidR="00B07943" w:rsidRDefault="00B07943" w:rsidP="00B07943">
      <w:pPr>
        <w:jc w:val="center"/>
        <w:rPr>
          <w:rFonts w:ascii="Times New Roman" w:hAnsi="Times New Roman"/>
          <w:b/>
        </w:rPr>
      </w:pPr>
      <w:r>
        <w:rPr>
          <w:rFonts w:ascii="Times New Roman" w:hAnsi="Times New Roman"/>
          <w:b/>
        </w:rPr>
        <w:t xml:space="preserve">SCHOOL OF EDUCATION </w:t>
      </w:r>
    </w:p>
    <w:p w:rsidR="00B07943" w:rsidRDefault="00B07943" w:rsidP="00B07943">
      <w:pPr>
        <w:jc w:val="center"/>
        <w:rPr>
          <w:rFonts w:ascii="Times New Roman" w:hAnsi="Times New Roman"/>
          <w:b/>
        </w:rPr>
      </w:pPr>
      <w:r>
        <w:rPr>
          <w:rFonts w:ascii="Times New Roman" w:hAnsi="Times New Roman"/>
          <w:b/>
        </w:rPr>
        <w:t>BACHELOR AND GRADUATE PROGRAMS</w:t>
      </w:r>
    </w:p>
    <w:p w:rsidR="00B07943" w:rsidRDefault="00B07943" w:rsidP="00B07943">
      <w:pPr>
        <w:jc w:val="center"/>
        <w:rPr>
          <w:rFonts w:ascii="Times New Roman" w:hAnsi="Times New Roman"/>
          <w:b/>
        </w:rPr>
      </w:pPr>
      <w:r>
        <w:rPr>
          <w:rFonts w:ascii="Times New Roman" w:hAnsi="Times New Roman"/>
          <w:b/>
        </w:rPr>
        <w:t xml:space="preserve">DEPARTMENT OF HEALTH, PHYSICAL EDUCATION, RECREATION </w:t>
      </w:r>
    </w:p>
    <w:p w:rsidR="00B07943" w:rsidRDefault="00B07943" w:rsidP="00B07943">
      <w:pPr>
        <w:rPr>
          <w:rFonts w:ascii="Times New Roman" w:hAnsi="Times New Roman"/>
          <w:b/>
        </w:rPr>
      </w:pPr>
    </w:p>
    <w:p w:rsidR="00B07943" w:rsidRDefault="00B07943" w:rsidP="00B07943">
      <w:pPr>
        <w:rPr>
          <w:rFonts w:ascii="Times New Roman" w:hAnsi="Times New Roman"/>
          <w:b/>
        </w:rPr>
      </w:pPr>
      <w:r>
        <w:rPr>
          <w:rFonts w:ascii="Times New Roman" w:hAnsi="Times New Roman"/>
          <w:b/>
        </w:rPr>
        <w:t>Goals and Objectives:</w:t>
      </w:r>
    </w:p>
    <w:p w:rsidR="00B07943" w:rsidRDefault="00B07943" w:rsidP="00B07943">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B07943" w:rsidRDefault="00B07943" w:rsidP="00B07943">
      <w:pPr>
        <w:rPr>
          <w:rFonts w:ascii="Times New Roman" w:hAnsi="Times New Roman"/>
        </w:rPr>
      </w:pPr>
    </w:p>
    <w:p w:rsidR="00B07943" w:rsidRDefault="00B07943" w:rsidP="00B07943">
      <w:pPr>
        <w:rPr>
          <w:rFonts w:ascii="Times New Roman" w:hAnsi="Times New Roman"/>
        </w:rPr>
      </w:pPr>
      <w:r>
        <w:rPr>
          <w:rFonts w:ascii="Times New Roman" w:hAnsi="Times New Roman"/>
        </w:rPr>
        <w:t>The specific goals and objectives of the programs are to provide students with opportunities to become confident, caring, reflective professionals by:</w:t>
      </w:r>
    </w:p>
    <w:p w:rsidR="00B07943" w:rsidRDefault="00B07943" w:rsidP="00B07943">
      <w:pPr>
        <w:pStyle w:val="ListParagraph"/>
        <w:numPr>
          <w:ilvl w:val="0"/>
          <w:numId w:val="2"/>
        </w:numPr>
        <w:rPr>
          <w:rFonts w:ascii="Times New Roman" w:hAnsi="Times New Roman"/>
        </w:rPr>
      </w:pPr>
      <w:r>
        <w:rPr>
          <w:rFonts w:ascii="Times New Roman" w:hAnsi="Times New Roman"/>
        </w:rPr>
        <w:t>earning academic credentials that may allow them to advance in the chosen field of employment;</w:t>
      </w:r>
    </w:p>
    <w:p w:rsidR="00B07943" w:rsidRDefault="00B07943" w:rsidP="00B07943">
      <w:pPr>
        <w:pStyle w:val="ListParagraph"/>
        <w:numPr>
          <w:ilvl w:val="0"/>
          <w:numId w:val="2"/>
        </w:numPr>
        <w:rPr>
          <w:rFonts w:ascii="Times New Roman" w:hAnsi="Times New Roman"/>
        </w:rPr>
      </w:pPr>
      <w:r>
        <w:rPr>
          <w:rFonts w:ascii="Times New Roman" w:hAnsi="Times New Roman"/>
        </w:rPr>
        <w:t>pursuing a health enhancing level of fitness;</w:t>
      </w:r>
    </w:p>
    <w:p w:rsidR="00B07943" w:rsidRDefault="00B07943" w:rsidP="00B07943">
      <w:pPr>
        <w:pStyle w:val="ListParagraph"/>
        <w:numPr>
          <w:ilvl w:val="0"/>
          <w:numId w:val="2"/>
        </w:numPr>
        <w:rPr>
          <w:rFonts w:ascii="Times New Roman" w:hAnsi="Times New Roman"/>
        </w:rPr>
      </w:pPr>
      <w:r>
        <w:rPr>
          <w:rFonts w:ascii="Times New Roman" w:hAnsi="Times New Roman"/>
        </w:rPr>
        <w:t>becoming a physically literate individual;</w:t>
      </w:r>
    </w:p>
    <w:p w:rsidR="00B07943" w:rsidRDefault="00B07943" w:rsidP="00B07943">
      <w:pPr>
        <w:pStyle w:val="ListParagraph"/>
        <w:numPr>
          <w:ilvl w:val="0"/>
          <w:numId w:val="2"/>
        </w:numPr>
        <w:rPr>
          <w:rFonts w:ascii="Times New Roman" w:hAnsi="Times New Roman"/>
        </w:rPr>
      </w:pPr>
      <w:r>
        <w:rPr>
          <w:rFonts w:ascii="Times New Roman" w:hAnsi="Times New Roman"/>
        </w:rPr>
        <w:t>gaining knowledge about physical education, fitness programs, and professions; and</w:t>
      </w:r>
    </w:p>
    <w:p w:rsidR="00B07943" w:rsidRDefault="00B07943" w:rsidP="00B07943">
      <w:pPr>
        <w:pStyle w:val="ListParagraph"/>
        <w:numPr>
          <w:ilvl w:val="0"/>
          <w:numId w:val="2"/>
        </w:numPr>
        <w:rPr>
          <w:rFonts w:ascii="Times New Roman" w:hAnsi="Times New Roman"/>
        </w:rPr>
      </w:pPr>
      <w:proofErr w:type="gramStart"/>
      <w:r>
        <w:rPr>
          <w:rFonts w:ascii="Times New Roman" w:hAnsi="Times New Roman"/>
        </w:rPr>
        <w:t>acquiring</w:t>
      </w:r>
      <w:proofErr w:type="gramEnd"/>
      <w:r>
        <w:rPr>
          <w:rFonts w:ascii="Times New Roman" w:hAnsi="Times New Roman"/>
        </w:rPr>
        <w:t xml:space="preserve"> knowledge of human anatomy, motor development, and kinesthesia.  </w:t>
      </w:r>
    </w:p>
    <w:p w:rsidR="00B07943" w:rsidRPr="00400EAC" w:rsidRDefault="00B07943" w:rsidP="00B07943">
      <w:pPr>
        <w:rPr>
          <w:rFonts w:ascii="Times New Roman" w:hAnsi="Times New Roman"/>
        </w:rPr>
      </w:pPr>
    </w:p>
    <w:p w:rsidR="00B07943" w:rsidRDefault="00B07943" w:rsidP="00B07943">
      <w:pPr>
        <w:rPr>
          <w:rFonts w:ascii="Times New Roman" w:hAnsi="Times New Roman"/>
          <w:b/>
        </w:rPr>
      </w:pPr>
      <w:r>
        <w:rPr>
          <w:rFonts w:ascii="Times New Roman" w:hAnsi="Times New Roman"/>
          <w:b/>
        </w:rPr>
        <w:t>BACHELOR OF SCIENCE – HEALTH AND PHYSICAL EDUCATION LICENSURE</w:t>
      </w:r>
    </w:p>
    <w:p w:rsidR="00B07943" w:rsidRDefault="00B07943" w:rsidP="00B07943">
      <w:pPr>
        <w:rPr>
          <w:rFonts w:ascii="Times New Roman" w:hAnsi="Times New Roman"/>
          <w:b/>
        </w:rPr>
      </w:pPr>
    </w:p>
    <w:p w:rsidR="00B07943" w:rsidRDefault="00B07943" w:rsidP="00B07943">
      <w:pPr>
        <w:rPr>
          <w:rFonts w:ascii="Times New Roman" w:hAnsi="Times New Roman"/>
          <w:b/>
        </w:rPr>
      </w:pPr>
      <w:r>
        <w:rPr>
          <w:rFonts w:ascii="Times New Roman" w:hAnsi="Times New Roman"/>
          <w:b/>
        </w:rPr>
        <w:t xml:space="preserve">Mission: It is the mission of the department to provide individuals seeking a degree with the knowledge necessary to educate others about wellness for life.  It is also the aim of the department to give department majors, minors, and coaches a clear understanding of procedures, methods, techniques, and materials for effective, competent teaching and coaching. The department offers minors in coaching, health and physical education, and recreation.  The Health, Physical Education, and Recreation degree is a compilation of health, physical education, and recreation courses that prepare the future graduate to seek employment in areas of physical education, health, coaching, and recreation. </w:t>
      </w:r>
    </w:p>
    <w:p w:rsidR="00B07943" w:rsidRDefault="00B07943" w:rsidP="00B07943">
      <w:pPr>
        <w:rPr>
          <w:rFonts w:ascii="Times New Roman" w:hAnsi="Times New Roman"/>
        </w:rPr>
      </w:pPr>
    </w:p>
    <w:p w:rsidR="00B07943" w:rsidRPr="00400EAC" w:rsidRDefault="00B07943" w:rsidP="00B07943">
      <w:pPr>
        <w:pStyle w:val="ListParagraph"/>
        <w:numPr>
          <w:ilvl w:val="0"/>
          <w:numId w:val="3"/>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w:t>
      </w:r>
      <w:r>
        <w:rPr>
          <w:rFonts w:ascii="Times New Roman" w:hAnsi="Times New Roman"/>
          <w:b/>
        </w:rPr>
        <w:t>B.S. Health and Physical Education Teacher Licensure</w:t>
      </w:r>
      <w:r w:rsidRPr="00400EAC">
        <w:rPr>
          <w:rFonts w:ascii="Times New Roman" w:hAnsi="Times New Roman"/>
          <w:b/>
        </w:rPr>
        <w:t xml:space="preserve"> has </w:t>
      </w:r>
      <w:r>
        <w:rPr>
          <w:rFonts w:ascii="Times New Roman" w:hAnsi="Times New Roman"/>
          <w:b/>
        </w:rPr>
        <w:t>eight</w:t>
      </w:r>
      <w:r w:rsidRPr="00400EAC">
        <w:rPr>
          <w:rFonts w:ascii="Times New Roman" w:hAnsi="Times New Roman"/>
          <w:b/>
        </w:rPr>
        <w:t xml:space="preserve"> singular, specific, and measureable SLOs.</w:t>
      </w:r>
    </w:p>
    <w:p w:rsidR="00B07943" w:rsidRDefault="00B07943" w:rsidP="00B07943">
      <w:pPr>
        <w:pStyle w:val="ListParagraph"/>
        <w:numPr>
          <w:ilvl w:val="1"/>
          <w:numId w:val="3"/>
        </w:numPr>
        <w:rPr>
          <w:rFonts w:ascii="Times New Roman" w:hAnsi="Times New Roman"/>
        </w:rPr>
      </w:pPr>
      <w:r>
        <w:rPr>
          <w:rFonts w:ascii="Times New Roman" w:hAnsi="Times New Roman"/>
          <w:b/>
        </w:rPr>
        <w:t xml:space="preserve">Teacher Internship Assessment Instrument - Planning </w:t>
      </w:r>
      <w:r>
        <w:rPr>
          <w:rFonts w:ascii="Times New Roman" w:hAnsi="Times New Roman"/>
        </w:rPr>
        <w:t xml:space="preserve">– As measured by the Teacher Internship Assessment Instrument (TIAI), students will plan and prepare lessons under six performance categories. The mean score will be a 3.0 or higher on a four-point Likert scale as observed by their University Supervisor for planning and preparation. </w:t>
      </w:r>
    </w:p>
    <w:p w:rsidR="00B07943" w:rsidRDefault="00B07943" w:rsidP="00B07943">
      <w:pPr>
        <w:pStyle w:val="ListParagraph"/>
        <w:numPr>
          <w:ilvl w:val="2"/>
          <w:numId w:val="3"/>
        </w:numPr>
        <w:rPr>
          <w:rFonts w:ascii="Times New Roman" w:hAnsi="Times New Roman"/>
        </w:rPr>
      </w:pPr>
      <w:r>
        <w:rPr>
          <w:rFonts w:ascii="Times New Roman" w:hAnsi="Times New Roman"/>
        </w:rPr>
        <w:t>Developmentally Appropriate Objectives to meet the needs of all students.</w:t>
      </w:r>
    </w:p>
    <w:p w:rsidR="00B07943" w:rsidRDefault="00B07943" w:rsidP="00B07943">
      <w:pPr>
        <w:pStyle w:val="ListParagraph"/>
        <w:numPr>
          <w:ilvl w:val="2"/>
          <w:numId w:val="3"/>
        </w:numPr>
        <w:rPr>
          <w:rFonts w:ascii="Times New Roman" w:hAnsi="Times New Roman"/>
        </w:rPr>
      </w:pPr>
      <w:r>
        <w:rPr>
          <w:rFonts w:ascii="Times New Roman" w:hAnsi="Times New Roman"/>
        </w:rPr>
        <w:t>Incorporating Diversity</w:t>
      </w:r>
    </w:p>
    <w:p w:rsidR="00B07943" w:rsidRDefault="00B07943" w:rsidP="00B07943">
      <w:pPr>
        <w:pStyle w:val="ListParagraph"/>
        <w:numPr>
          <w:ilvl w:val="2"/>
          <w:numId w:val="3"/>
        </w:numPr>
        <w:rPr>
          <w:rFonts w:ascii="Times New Roman" w:hAnsi="Times New Roman"/>
        </w:rPr>
      </w:pPr>
      <w:r>
        <w:rPr>
          <w:rFonts w:ascii="Times New Roman" w:hAnsi="Times New Roman"/>
        </w:rPr>
        <w:t>Integrating Core Content</w:t>
      </w:r>
    </w:p>
    <w:p w:rsidR="00B07943" w:rsidRDefault="00B07943" w:rsidP="00B07943">
      <w:pPr>
        <w:pStyle w:val="ListParagraph"/>
        <w:numPr>
          <w:ilvl w:val="2"/>
          <w:numId w:val="3"/>
        </w:numPr>
        <w:rPr>
          <w:rFonts w:ascii="Times New Roman" w:hAnsi="Times New Roman"/>
        </w:rPr>
      </w:pPr>
      <w:r>
        <w:rPr>
          <w:rFonts w:ascii="Times New Roman" w:hAnsi="Times New Roman"/>
        </w:rPr>
        <w:t>Appropriate and Sequential Teaching</w:t>
      </w:r>
    </w:p>
    <w:p w:rsidR="00B07943" w:rsidRPr="000F0C88" w:rsidRDefault="00B07943" w:rsidP="00B07943">
      <w:pPr>
        <w:pStyle w:val="ListParagraph"/>
        <w:numPr>
          <w:ilvl w:val="2"/>
          <w:numId w:val="3"/>
        </w:numPr>
        <w:rPr>
          <w:rFonts w:ascii="Times New Roman" w:hAnsi="Times New Roman"/>
        </w:rPr>
      </w:pPr>
      <w:r>
        <w:rPr>
          <w:rFonts w:ascii="Times New Roman" w:hAnsi="Times New Roman"/>
        </w:rPr>
        <w:t>Differentiated Learning</w:t>
      </w:r>
    </w:p>
    <w:p w:rsidR="00B07943" w:rsidRPr="000175D8" w:rsidRDefault="00B07943" w:rsidP="00B07943">
      <w:pPr>
        <w:pStyle w:val="ListParagraph"/>
        <w:ind w:left="2160"/>
        <w:rPr>
          <w:rFonts w:ascii="Times New Roman" w:hAnsi="Times New Roman"/>
        </w:rPr>
      </w:pPr>
      <w:r w:rsidRPr="000175D8">
        <w:rPr>
          <w:rFonts w:ascii="Times New Roman" w:hAnsi="Times New Roman"/>
        </w:rPr>
        <w:t xml:space="preserve">Table 1. </w:t>
      </w:r>
      <w:r>
        <w:rPr>
          <w:rFonts w:ascii="Times New Roman" w:hAnsi="Times New Roman"/>
        </w:rPr>
        <w:t>TIAI</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Indicators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Objectives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Diversity</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Content</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Sequential Teaching</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Assessment</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Differentiated Learning</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1</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4</w:t>
            </w:r>
          </w:p>
        </w:tc>
      </w:tr>
    </w:tbl>
    <w:p w:rsidR="00B07943" w:rsidRPr="00B07943" w:rsidRDefault="00B07943" w:rsidP="00B07943">
      <w:pPr>
        <w:pStyle w:val="ListParagraph"/>
        <w:numPr>
          <w:ilvl w:val="1"/>
          <w:numId w:val="3"/>
        </w:numPr>
        <w:rPr>
          <w:rFonts w:ascii="Times New Roman" w:hAnsi="Times New Roman"/>
        </w:rPr>
      </w:pPr>
      <w:r w:rsidRPr="00B07943">
        <w:rPr>
          <w:rFonts w:ascii="Times New Roman" w:hAnsi="Times New Roman"/>
          <w:b/>
        </w:rPr>
        <w:lastRenderedPageBreak/>
        <w:t>TIAI Classroom Management</w:t>
      </w:r>
      <w:r w:rsidRPr="00B07943">
        <w:rPr>
          <w:rFonts w:ascii="Times New Roman" w:hAnsi="Times New Roman"/>
        </w:rPr>
        <w:t xml:space="preserve">: The students will have a mean of 3.0 or higher in the indicators under the category: Learning Environment. This assessment deals with teacher candidate performance when building a positive, safe, learning environment through effective classroom management tools. </w:t>
      </w:r>
    </w:p>
    <w:p w:rsidR="00B07943" w:rsidRDefault="00B07943" w:rsidP="00B07943">
      <w:pPr>
        <w:pStyle w:val="ListParagraph"/>
        <w:numPr>
          <w:ilvl w:val="2"/>
          <w:numId w:val="3"/>
        </w:numPr>
        <w:rPr>
          <w:rFonts w:ascii="Times New Roman" w:hAnsi="Times New Roman"/>
        </w:rPr>
      </w:pPr>
      <w:r>
        <w:rPr>
          <w:rFonts w:ascii="Times New Roman" w:hAnsi="Times New Roman"/>
        </w:rPr>
        <w:t xml:space="preserve"> Monitors and Adjusts the Classroom Environment</w:t>
      </w:r>
    </w:p>
    <w:p w:rsidR="00B07943" w:rsidRDefault="00B07943" w:rsidP="00B07943">
      <w:pPr>
        <w:pStyle w:val="ListParagraph"/>
        <w:numPr>
          <w:ilvl w:val="2"/>
          <w:numId w:val="3"/>
        </w:numPr>
        <w:rPr>
          <w:rFonts w:ascii="Times New Roman" w:hAnsi="Times New Roman"/>
        </w:rPr>
      </w:pPr>
      <w:r>
        <w:rPr>
          <w:rFonts w:ascii="Times New Roman" w:hAnsi="Times New Roman"/>
        </w:rPr>
        <w:t>Attends to Routine Tasks</w:t>
      </w:r>
    </w:p>
    <w:p w:rsidR="00B07943" w:rsidRDefault="00B07943" w:rsidP="00B07943">
      <w:pPr>
        <w:pStyle w:val="ListParagraph"/>
        <w:numPr>
          <w:ilvl w:val="2"/>
          <w:numId w:val="3"/>
        </w:numPr>
        <w:rPr>
          <w:rFonts w:ascii="Times New Roman" w:hAnsi="Times New Roman"/>
        </w:rPr>
      </w:pPr>
      <w:r>
        <w:rPr>
          <w:rFonts w:ascii="Times New Roman" w:hAnsi="Times New Roman"/>
        </w:rPr>
        <w:t>Uses a Variety of Strategies</w:t>
      </w:r>
    </w:p>
    <w:p w:rsidR="00B07943" w:rsidRDefault="00B07943" w:rsidP="00B07943">
      <w:pPr>
        <w:pStyle w:val="ListParagraph"/>
        <w:numPr>
          <w:ilvl w:val="2"/>
          <w:numId w:val="3"/>
        </w:numPr>
        <w:rPr>
          <w:rFonts w:ascii="Times New Roman" w:hAnsi="Times New Roman"/>
        </w:rPr>
      </w:pPr>
      <w:r>
        <w:rPr>
          <w:rFonts w:ascii="Times New Roman" w:hAnsi="Times New Roman"/>
        </w:rPr>
        <w:t>Creates and Maintains a Climate of Fairness</w:t>
      </w:r>
    </w:p>
    <w:p w:rsidR="00B07943" w:rsidRPr="000175D8" w:rsidRDefault="00B07943" w:rsidP="00B07943">
      <w:pPr>
        <w:pStyle w:val="ListParagraph"/>
        <w:ind w:left="2160"/>
        <w:rPr>
          <w:rFonts w:ascii="Times New Roman" w:hAnsi="Times New Roman"/>
        </w:rPr>
      </w:pPr>
      <w:r>
        <w:rPr>
          <w:rFonts w:ascii="Times New Roman" w:hAnsi="Times New Roman"/>
        </w:rPr>
        <w:t>Table 2. Classroom Management</w:t>
      </w:r>
    </w:p>
    <w:tbl>
      <w:tblPr>
        <w:tblStyle w:val="TableGrid"/>
        <w:tblW w:w="0" w:type="auto"/>
        <w:tblInd w:w="2160" w:type="dxa"/>
        <w:tblLook w:val="04A0" w:firstRow="1" w:lastRow="0" w:firstColumn="1" w:lastColumn="0" w:noHBand="0" w:noVBand="1"/>
      </w:tblPr>
      <w:tblGrid>
        <w:gridCol w:w="2785"/>
        <w:gridCol w:w="1530"/>
        <w:gridCol w:w="1530"/>
        <w:gridCol w:w="1345"/>
      </w:tblGrid>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Indicators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Monitors and Adjusts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Routine Tasks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Strategies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Fairness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3.9</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345" w:type="dxa"/>
          </w:tcPr>
          <w:p w:rsidR="00B07943" w:rsidRDefault="00B07943" w:rsidP="00543E01">
            <w:pPr>
              <w:pStyle w:val="ListParagraph"/>
              <w:ind w:left="0"/>
              <w:jc w:val="center"/>
              <w:rPr>
                <w:rFonts w:ascii="Times New Roman" w:hAnsi="Times New Roman"/>
              </w:rPr>
            </w:pPr>
          </w:p>
        </w:tc>
      </w:tr>
      <w:tr w:rsidR="00B07943" w:rsidTr="00543E01">
        <w:tc>
          <w:tcPr>
            <w:tcW w:w="278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1</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4</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4</w:t>
            </w:r>
          </w:p>
        </w:tc>
      </w:tr>
    </w:tbl>
    <w:p w:rsidR="00B07943" w:rsidRPr="00400EAC" w:rsidRDefault="00B07943" w:rsidP="00B07943">
      <w:pPr>
        <w:pStyle w:val="ListParagraph"/>
        <w:numPr>
          <w:ilvl w:val="1"/>
          <w:numId w:val="3"/>
        </w:numPr>
        <w:rPr>
          <w:rFonts w:ascii="Times New Roman" w:hAnsi="Times New Roman"/>
        </w:rPr>
      </w:pPr>
      <w:r>
        <w:rPr>
          <w:rFonts w:ascii="Times New Roman" w:hAnsi="Times New Roman"/>
          <w:b/>
        </w:rPr>
        <w:t>TIAI Instructional Performance</w:t>
      </w:r>
      <w:r w:rsidRPr="00400EAC">
        <w:rPr>
          <w:rFonts w:ascii="Times New Roman" w:hAnsi="Times New Roman"/>
        </w:rPr>
        <w:t xml:space="preserve">: </w:t>
      </w:r>
      <w:r>
        <w:rPr>
          <w:rFonts w:ascii="Times New Roman" w:hAnsi="Times New Roman"/>
        </w:rPr>
        <w:t>When observed by the University Supervisor, s</w:t>
      </w:r>
      <w:r w:rsidRPr="00400EAC">
        <w:rPr>
          <w:rFonts w:ascii="Times New Roman" w:hAnsi="Times New Roman"/>
        </w:rPr>
        <w:t xml:space="preserve">tudents </w:t>
      </w:r>
      <w:r>
        <w:rPr>
          <w:rFonts w:ascii="Times New Roman" w:hAnsi="Times New Roman"/>
        </w:rPr>
        <w:t xml:space="preserve">demonstrate in the classroom eleven Instructional Performance Skills.  The students will have a mean of 3.0 or higher on a four-point Likert scale.  </w:t>
      </w:r>
    </w:p>
    <w:p w:rsidR="00B07943" w:rsidRDefault="00B07943" w:rsidP="00B07943">
      <w:pPr>
        <w:pStyle w:val="ListParagraph"/>
        <w:numPr>
          <w:ilvl w:val="2"/>
          <w:numId w:val="3"/>
        </w:numPr>
        <w:rPr>
          <w:rFonts w:ascii="Times New Roman" w:hAnsi="Times New Roman"/>
        </w:rPr>
      </w:pPr>
      <w:r>
        <w:rPr>
          <w:rFonts w:ascii="Times New Roman" w:hAnsi="Times New Roman"/>
        </w:rPr>
        <w:t>Uses Acceptable Communication, Planning, and Instruction</w:t>
      </w:r>
    </w:p>
    <w:p w:rsidR="00B07943" w:rsidRDefault="00B07943" w:rsidP="00B07943">
      <w:pPr>
        <w:pStyle w:val="ListParagraph"/>
        <w:numPr>
          <w:ilvl w:val="2"/>
          <w:numId w:val="3"/>
        </w:numPr>
        <w:rPr>
          <w:rFonts w:ascii="Times New Roman" w:hAnsi="Times New Roman"/>
        </w:rPr>
      </w:pPr>
      <w:r>
        <w:rPr>
          <w:rFonts w:ascii="Times New Roman" w:hAnsi="Times New Roman"/>
        </w:rPr>
        <w:t>Provides Clear Instructional Activities</w:t>
      </w:r>
    </w:p>
    <w:p w:rsidR="00B07943" w:rsidRDefault="00B07943" w:rsidP="00B07943">
      <w:pPr>
        <w:pStyle w:val="ListParagraph"/>
        <w:numPr>
          <w:ilvl w:val="2"/>
          <w:numId w:val="3"/>
        </w:numPr>
        <w:rPr>
          <w:rFonts w:ascii="Times New Roman" w:hAnsi="Times New Roman"/>
        </w:rPr>
      </w:pPr>
      <w:r>
        <w:rPr>
          <w:rFonts w:ascii="Times New Roman" w:hAnsi="Times New Roman"/>
        </w:rPr>
        <w:t>Communicates High Expectations</w:t>
      </w:r>
    </w:p>
    <w:p w:rsidR="00B07943" w:rsidRDefault="00B07943" w:rsidP="00B07943">
      <w:pPr>
        <w:pStyle w:val="ListParagraph"/>
        <w:numPr>
          <w:ilvl w:val="2"/>
          <w:numId w:val="3"/>
        </w:numPr>
        <w:rPr>
          <w:rFonts w:ascii="Times New Roman" w:hAnsi="Times New Roman"/>
        </w:rPr>
      </w:pPr>
      <w:r>
        <w:rPr>
          <w:rFonts w:ascii="Times New Roman" w:hAnsi="Times New Roman"/>
        </w:rPr>
        <w:t>Conveys Enthusiasm</w:t>
      </w:r>
    </w:p>
    <w:p w:rsidR="00B07943" w:rsidRDefault="00B07943" w:rsidP="00B07943">
      <w:pPr>
        <w:pStyle w:val="ListParagraph"/>
        <w:numPr>
          <w:ilvl w:val="2"/>
          <w:numId w:val="3"/>
        </w:numPr>
        <w:rPr>
          <w:rFonts w:ascii="Times New Roman" w:hAnsi="Times New Roman"/>
        </w:rPr>
      </w:pPr>
      <w:r>
        <w:rPr>
          <w:rFonts w:ascii="Times New Roman" w:hAnsi="Times New Roman"/>
        </w:rPr>
        <w:t>Provides Opportunities for Cooperation and Interaction</w:t>
      </w:r>
    </w:p>
    <w:p w:rsidR="00B07943" w:rsidRDefault="00B07943" w:rsidP="00B07943">
      <w:pPr>
        <w:pStyle w:val="ListParagraph"/>
        <w:numPr>
          <w:ilvl w:val="2"/>
          <w:numId w:val="3"/>
        </w:numPr>
        <w:rPr>
          <w:rFonts w:ascii="Times New Roman" w:hAnsi="Times New Roman"/>
        </w:rPr>
      </w:pPr>
      <w:r>
        <w:rPr>
          <w:rFonts w:ascii="Times New Roman" w:hAnsi="Times New Roman"/>
        </w:rPr>
        <w:t>Demonstrates Knowledge of Content</w:t>
      </w:r>
    </w:p>
    <w:p w:rsidR="00B07943" w:rsidRDefault="00B07943" w:rsidP="00B07943">
      <w:pPr>
        <w:pStyle w:val="ListParagraph"/>
        <w:numPr>
          <w:ilvl w:val="2"/>
          <w:numId w:val="3"/>
        </w:numPr>
        <w:rPr>
          <w:rFonts w:ascii="Times New Roman" w:hAnsi="Times New Roman"/>
        </w:rPr>
      </w:pPr>
      <w:r>
        <w:rPr>
          <w:rFonts w:ascii="Times New Roman" w:hAnsi="Times New Roman"/>
        </w:rPr>
        <w:t>Uses a Variety of Teaching Strategies</w:t>
      </w:r>
    </w:p>
    <w:p w:rsidR="00B07943" w:rsidRDefault="00B07943" w:rsidP="00B07943">
      <w:pPr>
        <w:pStyle w:val="ListParagraph"/>
        <w:numPr>
          <w:ilvl w:val="2"/>
          <w:numId w:val="3"/>
        </w:numPr>
        <w:rPr>
          <w:rFonts w:ascii="Times New Roman" w:hAnsi="Times New Roman"/>
        </w:rPr>
      </w:pPr>
      <w:r>
        <w:rPr>
          <w:rFonts w:ascii="Times New Roman" w:hAnsi="Times New Roman"/>
        </w:rPr>
        <w:t>Provides Learning Experiences that Accommodate Differences</w:t>
      </w:r>
    </w:p>
    <w:p w:rsidR="00B07943" w:rsidRDefault="00B07943" w:rsidP="00B07943">
      <w:pPr>
        <w:pStyle w:val="ListParagraph"/>
        <w:numPr>
          <w:ilvl w:val="2"/>
          <w:numId w:val="3"/>
        </w:numPr>
        <w:rPr>
          <w:rFonts w:ascii="Times New Roman" w:hAnsi="Times New Roman"/>
        </w:rPr>
      </w:pPr>
      <w:r>
        <w:rPr>
          <w:rFonts w:ascii="Times New Roman" w:hAnsi="Times New Roman"/>
        </w:rPr>
        <w:t>Engages Students in Analytical, Creative, and Critical Thinking</w:t>
      </w:r>
    </w:p>
    <w:p w:rsidR="00B07943" w:rsidRDefault="00B07943" w:rsidP="00B07943">
      <w:pPr>
        <w:pStyle w:val="ListParagraph"/>
        <w:numPr>
          <w:ilvl w:val="2"/>
          <w:numId w:val="3"/>
        </w:numPr>
        <w:rPr>
          <w:rFonts w:ascii="Times New Roman" w:hAnsi="Times New Roman"/>
        </w:rPr>
      </w:pPr>
      <w:r>
        <w:rPr>
          <w:rFonts w:ascii="Times New Roman" w:hAnsi="Times New Roman"/>
        </w:rPr>
        <w:t>Elicits Input/ Uses Family and Community Resources</w:t>
      </w:r>
    </w:p>
    <w:p w:rsidR="00B07943" w:rsidRPr="000175D8" w:rsidRDefault="00B07943" w:rsidP="00B07943">
      <w:pPr>
        <w:pStyle w:val="ListParagraph"/>
        <w:ind w:left="2160"/>
        <w:rPr>
          <w:rFonts w:ascii="Times New Roman" w:hAnsi="Times New Roman"/>
        </w:rPr>
      </w:pPr>
      <w:r w:rsidRPr="000175D8">
        <w:rPr>
          <w:rFonts w:ascii="Times New Roman" w:hAnsi="Times New Roman"/>
        </w:rPr>
        <w:t xml:space="preserve">Table 3. </w:t>
      </w:r>
      <w:r>
        <w:rPr>
          <w:rFonts w:ascii="Times New Roman" w:hAnsi="Times New Roman"/>
        </w:rPr>
        <w:t>TIAI Instructional Performance</w:t>
      </w:r>
    </w:p>
    <w:tbl>
      <w:tblPr>
        <w:tblStyle w:val="TableGrid"/>
        <w:tblW w:w="0" w:type="auto"/>
        <w:tblInd w:w="2160" w:type="dxa"/>
        <w:tblLook w:val="04A0" w:firstRow="1" w:lastRow="0" w:firstColumn="1" w:lastColumn="0" w:noHBand="0" w:noVBand="1"/>
      </w:tblPr>
      <w:tblGrid>
        <w:gridCol w:w="3595"/>
        <w:gridCol w:w="1170"/>
        <w:gridCol w:w="1170"/>
        <w:gridCol w:w="1255"/>
      </w:tblGrid>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Indicators</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25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Communication, Planning, Instruction</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Clear Instructional Activities</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High Expectations</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Enthusiasm</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3.9</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Cooperation and Interaction</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Knowledge of Content</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Teaching Strategies</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 xml:space="preserve">Accommodating Differences </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3.6</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 xml:space="preserve">Creative, Critical Thinking </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3.7</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Elicits Input/Uses Resources</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3.8</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4.0</w:t>
            </w:r>
          </w:p>
        </w:tc>
        <w:tc>
          <w:tcPr>
            <w:tcW w:w="1255" w:type="dxa"/>
          </w:tcPr>
          <w:p w:rsidR="00B07943" w:rsidRDefault="00B07943" w:rsidP="00543E01">
            <w:pPr>
              <w:pStyle w:val="ListParagraph"/>
              <w:ind w:left="0"/>
              <w:jc w:val="center"/>
              <w:rPr>
                <w:rFonts w:ascii="Times New Roman" w:hAnsi="Times New Roman"/>
              </w:rPr>
            </w:pPr>
          </w:p>
        </w:tc>
      </w:tr>
      <w:tr w:rsidR="00B07943" w:rsidTr="00543E01">
        <w:tc>
          <w:tcPr>
            <w:tcW w:w="35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1</w:t>
            </w:r>
          </w:p>
        </w:tc>
        <w:tc>
          <w:tcPr>
            <w:tcW w:w="1170" w:type="dxa"/>
          </w:tcPr>
          <w:p w:rsidR="00B07943" w:rsidRDefault="00B07943" w:rsidP="00543E01">
            <w:pPr>
              <w:pStyle w:val="ListParagraph"/>
              <w:ind w:left="0"/>
              <w:jc w:val="center"/>
              <w:rPr>
                <w:rFonts w:ascii="Times New Roman" w:hAnsi="Times New Roman"/>
              </w:rPr>
            </w:pPr>
            <w:r>
              <w:rPr>
                <w:rFonts w:ascii="Times New Roman" w:hAnsi="Times New Roman"/>
              </w:rPr>
              <w:t>4</w:t>
            </w:r>
          </w:p>
        </w:tc>
        <w:tc>
          <w:tcPr>
            <w:tcW w:w="1255" w:type="dxa"/>
          </w:tcPr>
          <w:p w:rsidR="00B07943" w:rsidRDefault="00B07943" w:rsidP="00543E01">
            <w:pPr>
              <w:pStyle w:val="ListParagraph"/>
              <w:ind w:left="0"/>
              <w:jc w:val="center"/>
              <w:rPr>
                <w:rFonts w:ascii="Times New Roman" w:hAnsi="Times New Roman"/>
              </w:rPr>
            </w:pPr>
            <w:r>
              <w:rPr>
                <w:rFonts w:ascii="Times New Roman" w:hAnsi="Times New Roman"/>
              </w:rPr>
              <w:t>4</w:t>
            </w:r>
          </w:p>
        </w:tc>
      </w:tr>
    </w:tbl>
    <w:p w:rsidR="00B07943" w:rsidRPr="00400EAC" w:rsidRDefault="00B07943" w:rsidP="00B07943">
      <w:pPr>
        <w:pStyle w:val="ListParagraph"/>
        <w:numPr>
          <w:ilvl w:val="1"/>
          <w:numId w:val="3"/>
        </w:numPr>
        <w:rPr>
          <w:rFonts w:ascii="Times New Roman" w:hAnsi="Times New Roman"/>
        </w:rPr>
      </w:pPr>
      <w:r>
        <w:rPr>
          <w:rFonts w:ascii="Times New Roman" w:hAnsi="Times New Roman"/>
          <w:b/>
        </w:rPr>
        <w:t>PRAXIS II Subject Area Examination</w:t>
      </w:r>
      <w:r w:rsidRPr="009D3446">
        <w:rPr>
          <w:rFonts w:ascii="Times New Roman" w:hAnsi="Times New Roman"/>
          <w:b/>
        </w:rPr>
        <w:t>:</w:t>
      </w:r>
      <w:r w:rsidRPr="00400EAC">
        <w:rPr>
          <w:rFonts w:ascii="Times New Roman" w:hAnsi="Times New Roman"/>
        </w:rPr>
        <w:t xml:space="preserve">  </w:t>
      </w:r>
      <w:r>
        <w:rPr>
          <w:rFonts w:ascii="Times New Roman" w:hAnsi="Times New Roman"/>
        </w:rPr>
        <w:t xml:space="preserve">The developing student teacher understands and applies the professional and content knowledge of his/her subject area.  The PRAXIS II Subject Area Examination is designed to measure the professional knowledge of prospective teachers of physical education who intend to obtain licensure.  The test assesses whether a candidate has the knowledge and competencies necessary for a first year teacher in this licensure area.  The test is a requirement for admission into the Residency I and II Program.  When taking the PRAXIS II Subject Area Examination, 100% of the students will achieve a passing score. </w:t>
      </w:r>
    </w:p>
    <w:p w:rsidR="00B07943" w:rsidRPr="00422D33" w:rsidRDefault="00B07943" w:rsidP="00B07943">
      <w:pPr>
        <w:pStyle w:val="ListParagraph"/>
        <w:ind w:left="2160"/>
        <w:rPr>
          <w:rFonts w:ascii="Times New Roman" w:hAnsi="Times New Roman"/>
        </w:rPr>
      </w:pPr>
      <w:r w:rsidRPr="00422D33">
        <w:rPr>
          <w:rFonts w:ascii="Times New Roman" w:hAnsi="Times New Roman"/>
        </w:rPr>
        <w:t xml:space="preserve">Table 4. </w:t>
      </w:r>
      <w:r>
        <w:rPr>
          <w:rFonts w:ascii="Times New Roman" w:hAnsi="Times New Roman"/>
        </w:rPr>
        <w:t>PRAXIS II Subject Area Examination</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lastRenderedPageBreak/>
              <w:t>Academic Years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Mean and Pass Rate</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100%</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148 - 100%</w:t>
            </w:r>
          </w:p>
        </w:tc>
        <w:tc>
          <w:tcPr>
            <w:tcW w:w="1345" w:type="dxa"/>
          </w:tcPr>
          <w:p w:rsidR="00B07943" w:rsidRDefault="00027DA9" w:rsidP="00543E01">
            <w:pPr>
              <w:pStyle w:val="ListParagraph"/>
              <w:ind w:left="0"/>
              <w:jc w:val="center"/>
              <w:rPr>
                <w:rFonts w:ascii="Times New Roman" w:hAnsi="Times New Roman"/>
              </w:rPr>
            </w:pPr>
            <w:r>
              <w:rPr>
                <w:rFonts w:ascii="Times New Roman" w:hAnsi="Times New Roman"/>
              </w:rPr>
              <w:t>66.7%</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027DA9" w:rsidP="00543E01">
            <w:pPr>
              <w:pStyle w:val="ListParagraph"/>
              <w:ind w:left="0"/>
              <w:jc w:val="center"/>
              <w:rPr>
                <w:rFonts w:ascii="Times New Roman" w:hAnsi="Times New Roman"/>
              </w:rPr>
            </w:pPr>
            <w:r>
              <w:rPr>
                <w:rFonts w:ascii="Times New Roman" w:hAnsi="Times New Roman"/>
              </w:rPr>
              <w:t>5</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w:t>
            </w:r>
          </w:p>
        </w:tc>
        <w:tc>
          <w:tcPr>
            <w:tcW w:w="1345" w:type="dxa"/>
          </w:tcPr>
          <w:p w:rsidR="00B07943" w:rsidRDefault="00027DA9" w:rsidP="00543E01">
            <w:pPr>
              <w:pStyle w:val="ListParagraph"/>
              <w:ind w:left="0"/>
              <w:jc w:val="center"/>
              <w:rPr>
                <w:rFonts w:ascii="Times New Roman" w:hAnsi="Times New Roman"/>
              </w:rPr>
            </w:pPr>
            <w:r>
              <w:rPr>
                <w:rFonts w:ascii="Times New Roman" w:hAnsi="Times New Roman"/>
              </w:rPr>
              <w:t>6</w:t>
            </w:r>
          </w:p>
        </w:tc>
      </w:tr>
    </w:tbl>
    <w:p w:rsidR="00B07943" w:rsidRPr="00400EAC" w:rsidRDefault="00B07943" w:rsidP="00B07943">
      <w:pPr>
        <w:pStyle w:val="ListParagraph"/>
        <w:numPr>
          <w:ilvl w:val="1"/>
          <w:numId w:val="3"/>
        </w:numPr>
        <w:rPr>
          <w:rFonts w:ascii="Times New Roman" w:hAnsi="Times New Roman"/>
        </w:rPr>
      </w:pPr>
      <w:r>
        <w:rPr>
          <w:rFonts w:ascii="Times New Roman" w:hAnsi="Times New Roman"/>
          <w:b/>
        </w:rPr>
        <w:t>PRAXIS II Principles of Teaching and Learning</w:t>
      </w:r>
      <w:r w:rsidRPr="009D3446">
        <w:rPr>
          <w:rFonts w:ascii="Times New Roman" w:hAnsi="Times New Roman"/>
          <w:b/>
        </w:rPr>
        <w:t>:</w:t>
      </w:r>
      <w:r>
        <w:rPr>
          <w:rFonts w:ascii="Times New Roman" w:hAnsi="Times New Roman"/>
          <w:b/>
        </w:rPr>
        <w:t xml:space="preserve"> </w:t>
      </w:r>
      <w:r>
        <w:rPr>
          <w:rFonts w:ascii="Times New Roman" w:hAnsi="Times New Roman"/>
        </w:rPr>
        <w:t xml:space="preserve">The examination is designed to measure the pedagogical knowledge of prospective teachers who intend to obtain licensure.  The test assesses whether a student teacher has the required understanding of pedagogical knowledge, classroom management strategies, and appropriate developmental strategies which the student teacher can successfully apply to real world test scenario. This is a requirement for admission into Residency I and II Program.  When taking the PRAXIS Principles of Teaching and Learning, 100% of the student teachers will achieve a passing score. </w:t>
      </w:r>
    </w:p>
    <w:p w:rsidR="00B07943" w:rsidRDefault="00B07943" w:rsidP="00B07943">
      <w:pPr>
        <w:pStyle w:val="ListParagraph"/>
        <w:ind w:left="2160"/>
        <w:rPr>
          <w:rFonts w:ascii="Times New Roman" w:hAnsi="Times New Roman"/>
        </w:rPr>
      </w:pPr>
      <w:r>
        <w:rPr>
          <w:rFonts w:ascii="Times New Roman" w:hAnsi="Times New Roman"/>
        </w:rPr>
        <w:t>Table 5. PRAXIS II Principles of Teaching and Learning</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Academic Years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Mean and Pass Rate</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100%</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169 - 100%</w:t>
            </w:r>
          </w:p>
        </w:tc>
        <w:tc>
          <w:tcPr>
            <w:tcW w:w="1345" w:type="dxa"/>
          </w:tcPr>
          <w:p w:rsidR="00B07943" w:rsidRDefault="00027DA9" w:rsidP="00543E01">
            <w:pPr>
              <w:pStyle w:val="ListParagraph"/>
              <w:ind w:left="0"/>
              <w:jc w:val="center"/>
              <w:rPr>
                <w:rFonts w:ascii="Times New Roman" w:hAnsi="Times New Roman"/>
              </w:rPr>
            </w:pPr>
            <w:r>
              <w:rPr>
                <w:rFonts w:ascii="Times New Roman" w:hAnsi="Times New Roman"/>
              </w:rPr>
              <w:t>100%</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027DA9" w:rsidP="00543E01">
            <w:pPr>
              <w:pStyle w:val="ListParagraph"/>
              <w:ind w:left="0"/>
              <w:jc w:val="center"/>
              <w:rPr>
                <w:rFonts w:ascii="Times New Roman" w:hAnsi="Times New Roman"/>
              </w:rPr>
            </w:pPr>
            <w:r>
              <w:rPr>
                <w:rFonts w:ascii="Times New Roman" w:hAnsi="Times New Roman"/>
              </w:rPr>
              <w:t>5</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4</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4</w:t>
            </w:r>
          </w:p>
        </w:tc>
      </w:tr>
    </w:tbl>
    <w:p w:rsidR="00B07943" w:rsidRDefault="00B07943" w:rsidP="00B07943">
      <w:pPr>
        <w:pStyle w:val="ListParagraph"/>
        <w:numPr>
          <w:ilvl w:val="1"/>
          <w:numId w:val="3"/>
        </w:numPr>
        <w:rPr>
          <w:rFonts w:ascii="Times New Roman" w:hAnsi="Times New Roman"/>
        </w:rPr>
      </w:pPr>
      <w:r>
        <w:rPr>
          <w:rFonts w:ascii="Times New Roman" w:hAnsi="Times New Roman"/>
          <w:b/>
        </w:rPr>
        <w:t>Content Knowledge Examination PED 231 –</w:t>
      </w:r>
      <w:r>
        <w:rPr>
          <w:rFonts w:ascii="Times New Roman" w:hAnsi="Times New Roman"/>
        </w:rPr>
        <w:t xml:space="preserve"> The students will demonstrate knowledge of lifespan activity, philosophy, basic PE concepts and basic fitness issues, and knowledge of sport programs and professions in a formal test setting.  Students will achieve an overall mean of 80% or higher when taking the examination. Because of the low number of students assessed in each of the three programs, this assessment was scored on the total group.</w:t>
      </w:r>
    </w:p>
    <w:p w:rsidR="00B07943" w:rsidRDefault="00B07943" w:rsidP="00B07943">
      <w:pPr>
        <w:pStyle w:val="ListParagraph"/>
        <w:ind w:left="1440" w:firstLine="720"/>
        <w:rPr>
          <w:rFonts w:ascii="Times New Roman" w:hAnsi="Times New Roman"/>
        </w:rPr>
      </w:pPr>
      <w:r>
        <w:rPr>
          <w:rFonts w:ascii="Times New Roman" w:hAnsi="Times New Roman"/>
        </w:rPr>
        <w:t>Table 7. Content Knowledge Examination PED 231</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Academic Years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Mean and Pass Rate</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84%</w:t>
            </w:r>
          </w:p>
          <w:p w:rsidR="00B07943" w:rsidRDefault="00B07943" w:rsidP="00543E01">
            <w:pPr>
              <w:pStyle w:val="ListParagraph"/>
              <w:ind w:left="0"/>
              <w:jc w:val="center"/>
              <w:rPr>
                <w:rFonts w:ascii="Times New Roman" w:hAnsi="Times New Roman"/>
              </w:rPr>
            </w:pPr>
            <w:r>
              <w:rPr>
                <w:rFonts w:ascii="Times New Roman" w:hAnsi="Times New Roman"/>
              </w:rPr>
              <w:t>88% Pass Rate</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80%</w:t>
            </w:r>
          </w:p>
          <w:p w:rsidR="00B07943" w:rsidRDefault="00B07943" w:rsidP="00543E01">
            <w:pPr>
              <w:pStyle w:val="ListParagraph"/>
              <w:ind w:left="0"/>
              <w:jc w:val="center"/>
              <w:rPr>
                <w:rFonts w:ascii="Times New Roman" w:hAnsi="Times New Roman"/>
              </w:rPr>
            </w:pPr>
            <w:r>
              <w:rPr>
                <w:rFonts w:ascii="Times New Roman" w:hAnsi="Times New Roman"/>
              </w:rPr>
              <w:t>77% Pass Rate</w:t>
            </w:r>
          </w:p>
        </w:tc>
        <w:tc>
          <w:tcPr>
            <w:tcW w:w="1345" w:type="dxa"/>
          </w:tcPr>
          <w:p w:rsidR="000C175C" w:rsidRDefault="000C175C" w:rsidP="000C175C">
            <w:pPr>
              <w:pStyle w:val="ListParagraph"/>
              <w:ind w:left="0"/>
              <w:jc w:val="center"/>
              <w:rPr>
                <w:rFonts w:ascii="Times New Roman" w:hAnsi="Times New Roman"/>
              </w:rPr>
            </w:pPr>
            <w:r>
              <w:rPr>
                <w:rFonts w:ascii="Times New Roman" w:hAnsi="Times New Roman"/>
              </w:rPr>
              <w:t>82%</w:t>
            </w:r>
          </w:p>
          <w:p w:rsidR="00B07943" w:rsidRDefault="000C175C" w:rsidP="000C175C">
            <w:pPr>
              <w:pStyle w:val="ListParagraph"/>
              <w:ind w:left="0"/>
              <w:jc w:val="center"/>
              <w:rPr>
                <w:rFonts w:ascii="Times New Roman" w:hAnsi="Times New Roman"/>
              </w:rPr>
            </w:pPr>
            <w:r>
              <w:t>89% Pass Rate</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58</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50</w:t>
            </w:r>
          </w:p>
        </w:tc>
        <w:tc>
          <w:tcPr>
            <w:tcW w:w="1345" w:type="dxa"/>
          </w:tcPr>
          <w:p w:rsidR="00B07943" w:rsidRDefault="000C175C" w:rsidP="00543E01">
            <w:pPr>
              <w:pStyle w:val="ListParagraph"/>
              <w:ind w:left="0"/>
              <w:jc w:val="center"/>
              <w:rPr>
                <w:rFonts w:ascii="Times New Roman" w:hAnsi="Times New Roman"/>
              </w:rPr>
            </w:pPr>
            <w:r>
              <w:rPr>
                <w:rFonts w:ascii="Times New Roman" w:hAnsi="Times New Roman"/>
              </w:rPr>
              <w:t>19</w:t>
            </w:r>
            <w:r w:rsidR="00B07943">
              <w:rPr>
                <w:rFonts w:ascii="Times New Roman" w:hAnsi="Times New Roman"/>
              </w:rPr>
              <w:t xml:space="preserve"> </w:t>
            </w:r>
          </w:p>
        </w:tc>
      </w:tr>
    </w:tbl>
    <w:p w:rsidR="00B07943" w:rsidRPr="00B07943" w:rsidRDefault="00B07943" w:rsidP="00B07943">
      <w:pPr>
        <w:pStyle w:val="ListParagraph"/>
        <w:numPr>
          <w:ilvl w:val="1"/>
          <w:numId w:val="3"/>
        </w:numPr>
        <w:rPr>
          <w:rFonts w:ascii="Times New Roman" w:hAnsi="Times New Roman"/>
        </w:rPr>
      </w:pPr>
      <w:r w:rsidRPr="00B07943">
        <w:rPr>
          <w:rFonts w:ascii="Times New Roman" w:hAnsi="Times New Roman"/>
          <w:b/>
        </w:rPr>
        <w:t>Content Knowledge Examination PED 324 –</w:t>
      </w:r>
      <w:r w:rsidRPr="00B07943">
        <w:rPr>
          <w:rFonts w:ascii="Times New Roman" w:hAnsi="Times New Roman"/>
        </w:rPr>
        <w:t xml:space="preserve"> The students will identify pathological conditions, compare the differences between acute and chronic conditions, identify physiological processes, identify anatomical structure, and recognize energy production.  Students will achieve an overall mean of 80% or higher when taking the examination. Because of the low number of students assessed in each of the three programs, this assessment was scored on the total group.</w:t>
      </w:r>
    </w:p>
    <w:p w:rsidR="00B07943" w:rsidRDefault="00B07943" w:rsidP="00B07943">
      <w:pPr>
        <w:pStyle w:val="ListParagraph"/>
        <w:ind w:left="1440" w:firstLine="720"/>
        <w:rPr>
          <w:rFonts w:ascii="Times New Roman" w:hAnsi="Times New Roman"/>
        </w:rPr>
      </w:pPr>
      <w:r>
        <w:rPr>
          <w:rFonts w:ascii="Times New Roman" w:hAnsi="Times New Roman"/>
        </w:rPr>
        <w:t>Table 7. Content Knowledge Examination PED 324</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Academic Years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Mean and Pass Rate</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81%</w:t>
            </w:r>
          </w:p>
          <w:p w:rsidR="00B07943" w:rsidRDefault="00B07943" w:rsidP="00543E01">
            <w:pPr>
              <w:pStyle w:val="ListParagraph"/>
              <w:ind w:left="0"/>
              <w:jc w:val="center"/>
              <w:rPr>
                <w:rFonts w:ascii="Times New Roman" w:hAnsi="Times New Roman"/>
              </w:rPr>
            </w:pPr>
            <w:r>
              <w:rPr>
                <w:rFonts w:ascii="Times New Roman" w:hAnsi="Times New Roman"/>
              </w:rPr>
              <w:t>89% Pass Rate</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81%</w:t>
            </w:r>
          </w:p>
          <w:p w:rsidR="00B07943" w:rsidRDefault="00B07943" w:rsidP="00543E01">
            <w:pPr>
              <w:pStyle w:val="ListParagraph"/>
              <w:ind w:left="0"/>
              <w:jc w:val="center"/>
              <w:rPr>
                <w:rFonts w:ascii="Times New Roman" w:hAnsi="Times New Roman"/>
              </w:rPr>
            </w:pPr>
            <w:r>
              <w:rPr>
                <w:rFonts w:ascii="Times New Roman" w:hAnsi="Times New Roman"/>
              </w:rPr>
              <w:t>96% Pass Rate</w:t>
            </w:r>
          </w:p>
        </w:tc>
        <w:tc>
          <w:tcPr>
            <w:tcW w:w="1345" w:type="dxa"/>
          </w:tcPr>
          <w:p w:rsidR="000C175C" w:rsidRDefault="000C175C" w:rsidP="000C175C">
            <w:pPr>
              <w:pStyle w:val="ListParagraph"/>
              <w:ind w:left="0"/>
              <w:jc w:val="center"/>
              <w:rPr>
                <w:rFonts w:ascii="Times New Roman" w:hAnsi="Times New Roman"/>
              </w:rPr>
            </w:pPr>
            <w:r>
              <w:rPr>
                <w:rFonts w:ascii="Times New Roman" w:hAnsi="Times New Roman"/>
              </w:rPr>
              <w:t>87%</w:t>
            </w:r>
          </w:p>
          <w:p w:rsidR="00B07943" w:rsidRDefault="000C175C" w:rsidP="000C175C">
            <w:pPr>
              <w:pStyle w:val="ListParagraph"/>
              <w:ind w:left="0"/>
              <w:jc w:val="center"/>
              <w:rPr>
                <w:rFonts w:ascii="Times New Roman" w:hAnsi="Times New Roman"/>
              </w:rPr>
            </w:pPr>
            <w:r>
              <w:t>100% Pass Rate</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50</w:t>
            </w:r>
          </w:p>
        </w:tc>
        <w:tc>
          <w:tcPr>
            <w:tcW w:w="1345" w:type="dxa"/>
          </w:tcPr>
          <w:p w:rsidR="00B07943" w:rsidRDefault="000C175C" w:rsidP="00543E01">
            <w:pPr>
              <w:pStyle w:val="ListParagraph"/>
              <w:ind w:left="0"/>
              <w:jc w:val="center"/>
              <w:rPr>
                <w:rFonts w:ascii="Times New Roman" w:hAnsi="Times New Roman"/>
              </w:rPr>
            </w:pPr>
            <w:r>
              <w:rPr>
                <w:rFonts w:ascii="Times New Roman" w:hAnsi="Times New Roman"/>
              </w:rPr>
              <w:t>20</w:t>
            </w:r>
            <w:r w:rsidR="00B07943">
              <w:rPr>
                <w:rFonts w:ascii="Times New Roman" w:hAnsi="Times New Roman"/>
              </w:rPr>
              <w:t xml:space="preserve"> </w:t>
            </w:r>
          </w:p>
        </w:tc>
      </w:tr>
    </w:tbl>
    <w:p w:rsidR="00B07943" w:rsidRDefault="00B07943" w:rsidP="00B07943">
      <w:pPr>
        <w:pStyle w:val="ListParagraph"/>
        <w:numPr>
          <w:ilvl w:val="1"/>
          <w:numId w:val="3"/>
        </w:numPr>
        <w:rPr>
          <w:rFonts w:ascii="Times New Roman" w:hAnsi="Times New Roman"/>
        </w:rPr>
      </w:pPr>
      <w:r>
        <w:rPr>
          <w:rFonts w:ascii="Times New Roman" w:hAnsi="Times New Roman"/>
          <w:b/>
        </w:rPr>
        <w:t xml:space="preserve">Content Knowledge Examination Kinesiology – </w:t>
      </w:r>
      <w:r>
        <w:rPr>
          <w:rFonts w:ascii="Times New Roman" w:hAnsi="Times New Roman"/>
        </w:rPr>
        <w:t>The students will recognize the differences in joints, basic muscle tissues, skeletal muscle properties including the origin and insertion of muscle. The students will achieve an overall mean of 80% or higher when taking the Content Knowledge examination. Because of the low number of students assessed in each of the three programs, this assessment was scored on the total group.</w:t>
      </w:r>
    </w:p>
    <w:p w:rsidR="00B07943" w:rsidRDefault="00B07943" w:rsidP="00B07943">
      <w:pPr>
        <w:pStyle w:val="ListParagraph"/>
        <w:ind w:left="1440" w:firstLine="720"/>
        <w:rPr>
          <w:rFonts w:ascii="Times New Roman" w:hAnsi="Times New Roman"/>
        </w:rPr>
      </w:pPr>
      <w:r>
        <w:rPr>
          <w:rFonts w:ascii="Times New Roman" w:hAnsi="Times New Roman"/>
        </w:rPr>
        <w:t>Table 8. Content Knowledge Examination Kinesiology</w:t>
      </w:r>
    </w:p>
    <w:tbl>
      <w:tblPr>
        <w:tblStyle w:val="TableGrid"/>
        <w:tblW w:w="0" w:type="auto"/>
        <w:tblInd w:w="2160" w:type="dxa"/>
        <w:tblLook w:val="04A0" w:firstRow="1" w:lastRow="0" w:firstColumn="1" w:lastColumn="0" w:noHBand="0" w:noVBand="1"/>
      </w:tblPr>
      <w:tblGrid>
        <w:gridCol w:w="2695"/>
        <w:gridCol w:w="1530"/>
        <w:gridCol w:w="1620"/>
        <w:gridCol w:w="1345"/>
      </w:tblGrid>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Academic Years</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2015-2016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2016-2017</w:t>
            </w:r>
          </w:p>
        </w:tc>
        <w:tc>
          <w:tcPr>
            <w:tcW w:w="1345" w:type="dxa"/>
          </w:tcPr>
          <w:p w:rsidR="00B07943" w:rsidRDefault="00B07943" w:rsidP="00543E01">
            <w:pPr>
              <w:pStyle w:val="ListParagraph"/>
              <w:ind w:left="0"/>
              <w:jc w:val="center"/>
              <w:rPr>
                <w:rFonts w:ascii="Times New Roman" w:hAnsi="Times New Roman"/>
              </w:rPr>
            </w:pPr>
            <w:r>
              <w:rPr>
                <w:rFonts w:ascii="Times New Roman" w:hAnsi="Times New Roman"/>
              </w:rPr>
              <w:t>2017-2018</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Mean and Pass Rate</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80%</w:t>
            </w:r>
          </w:p>
          <w:p w:rsidR="00B07943" w:rsidRDefault="00B07943" w:rsidP="00543E01">
            <w:pPr>
              <w:pStyle w:val="ListParagraph"/>
              <w:ind w:left="0"/>
              <w:jc w:val="center"/>
              <w:rPr>
                <w:rFonts w:ascii="Times New Roman" w:hAnsi="Times New Roman"/>
              </w:rPr>
            </w:pPr>
            <w:r>
              <w:rPr>
                <w:rFonts w:ascii="Times New Roman" w:hAnsi="Times New Roman"/>
              </w:rPr>
              <w:t>66% Pass Rate</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80%</w:t>
            </w:r>
          </w:p>
          <w:p w:rsidR="00B07943" w:rsidRDefault="00B07943" w:rsidP="00543E01">
            <w:pPr>
              <w:pStyle w:val="ListParagraph"/>
              <w:ind w:left="0"/>
              <w:jc w:val="center"/>
              <w:rPr>
                <w:rFonts w:ascii="Times New Roman" w:hAnsi="Times New Roman"/>
              </w:rPr>
            </w:pPr>
            <w:r>
              <w:rPr>
                <w:rFonts w:ascii="Times New Roman" w:hAnsi="Times New Roman"/>
              </w:rPr>
              <w:t>73% Pass Rate</w:t>
            </w:r>
          </w:p>
        </w:tc>
        <w:tc>
          <w:tcPr>
            <w:tcW w:w="1345" w:type="dxa"/>
          </w:tcPr>
          <w:p w:rsidR="000C175C" w:rsidRDefault="000C175C" w:rsidP="000C175C">
            <w:pPr>
              <w:pStyle w:val="ListParagraph"/>
              <w:ind w:left="0"/>
              <w:jc w:val="center"/>
              <w:rPr>
                <w:rFonts w:ascii="Times New Roman" w:hAnsi="Times New Roman"/>
              </w:rPr>
            </w:pPr>
            <w:r>
              <w:rPr>
                <w:rFonts w:ascii="Times New Roman" w:hAnsi="Times New Roman"/>
              </w:rPr>
              <w:t>86%</w:t>
            </w:r>
          </w:p>
          <w:p w:rsidR="00B07943" w:rsidRDefault="000C175C" w:rsidP="000C175C">
            <w:pPr>
              <w:pStyle w:val="ListParagraph"/>
              <w:ind w:left="0"/>
              <w:jc w:val="center"/>
              <w:rPr>
                <w:rFonts w:ascii="Times New Roman" w:hAnsi="Times New Roman"/>
              </w:rPr>
            </w:pPr>
            <w:r>
              <w:t>100% Pass Rate</w:t>
            </w:r>
          </w:p>
        </w:tc>
      </w:tr>
      <w:tr w:rsidR="00B07943" w:rsidTr="00543E01">
        <w:tc>
          <w:tcPr>
            <w:tcW w:w="2695" w:type="dxa"/>
          </w:tcPr>
          <w:p w:rsidR="00B07943" w:rsidRDefault="00B07943" w:rsidP="00543E01">
            <w:pPr>
              <w:pStyle w:val="ListParagraph"/>
              <w:ind w:left="0"/>
              <w:rPr>
                <w:rFonts w:ascii="Times New Roman" w:hAnsi="Times New Roman"/>
              </w:rPr>
            </w:pPr>
            <w:r>
              <w:rPr>
                <w:rFonts w:ascii="Times New Roman" w:hAnsi="Times New Roman"/>
              </w:rPr>
              <w:t>N=</w:t>
            </w:r>
          </w:p>
        </w:tc>
        <w:tc>
          <w:tcPr>
            <w:tcW w:w="1530" w:type="dxa"/>
          </w:tcPr>
          <w:p w:rsidR="00B07943" w:rsidRDefault="00B07943" w:rsidP="00543E01">
            <w:pPr>
              <w:pStyle w:val="ListParagraph"/>
              <w:ind w:left="0"/>
              <w:jc w:val="center"/>
              <w:rPr>
                <w:rFonts w:ascii="Times New Roman" w:hAnsi="Times New Roman"/>
              </w:rPr>
            </w:pPr>
            <w:r>
              <w:rPr>
                <w:rFonts w:ascii="Times New Roman" w:hAnsi="Times New Roman"/>
              </w:rPr>
              <w:t>36</w:t>
            </w:r>
          </w:p>
        </w:tc>
        <w:tc>
          <w:tcPr>
            <w:tcW w:w="1620" w:type="dxa"/>
          </w:tcPr>
          <w:p w:rsidR="00B07943" w:rsidRDefault="00B07943" w:rsidP="00543E01">
            <w:pPr>
              <w:pStyle w:val="ListParagraph"/>
              <w:ind w:left="0"/>
              <w:jc w:val="center"/>
              <w:rPr>
                <w:rFonts w:ascii="Times New Roman" w:hAnsi="Times New Roman"/>
              </w:rPr>
            </w:pPr>
            <w:r>
              <w:rPr>
                <w:rFonts w:ascii="Times New Roman" w:hAnsi="Times New Roman"/>
              </w:rPr>
              <w:t>35</w:t>
            </w:r>
          </w:p>
        </w:tc>
        <w:tc>
          <w:tcPr>
            <w:tcW w:w="1345" w:type="dxa"/>
          </w:tcPr>
          <w:p w:rsidR="00B07943" w:rsidRDefault="000C175C" w:rsidP="00543E01">
            <w:pPr>
              <w:pStyle w:val="ListParagraph"/>
              <w:ind w:left="0"/>
              <w:jc w:val="center"/>
              <w:rPr>
                <w:rFonts w:ascii="Times New Roman" w:hAnsi="Times New Roman"/>
              </w:rPr>
            </w:pPr>
            <w:r>
              <w:rPr>
                <w:rFonts w:ascii="Times New Roman" w:hAnsi="Times New Roman"/>
              </w:rPr>
              <w:t>19</w:t>
            </w:r>
            <w:bookmarkStart w:id="0" w:name="_GoBack"/>
            <w:bookmarkEnd w:id="0"/>
            <w:r w:rsidR="00B07943">
              <w:rPr>
                <w:rFonts w:ascii="Times New Roman" w:hAnsi="Times New Roman"/>
              </w:rPr>
              <w:t xml:space="preserve"> </w:t>
            </w:r>
          </w:p>
        </w:tc>
      </w:tr>
    </w:tbl>
    <w:p w:rsidR="00B07943" w:rsidRDefault="00B07943" w:rsidP="00B07943">
      <w:pPr>
        <w:pStyle w:val="ListParagraph"/>
        <w:ind w:left="1440"/>
        <w:rPr>
          <w:rFonts w:ascii="Times New Roman" w:hAnsi="Times New Roman"/>
        </w:rPr>
      </w:pPr>
    </w:p>
    <w:p w:rsidR="00B07943" w:rsidRDefault="00B07943" w:rsidP="00B07943">
      <w:pPr>
        <w:pStyle w:val="ListParagraph"/>
        <w:ind w:left="1440"/>
        <w:rPr>
          <w:rFonts w:ascii="Times New Roman" w:hAnsi="Times New Roman"/>
        </w:rPr>
      </w:pPr>
    </w:p>
    <w:p w:rsidR="00B07943" w:rsidRPr="00553007" w:rsidRDefault="00B07943" w:rsidP="00B07943">
      <w:pPr>
        <w:pStyle w:val="ListParagraph"/>
        <w:ind w:left="1440"/>
        <w:rPr>
          <w:rFonts w:ascii="Times New Roman" w:hAnsi="Times New Roman"/>
        </w:rPr>
      </w:pPr>
    </w:p>
    <w:p w:rsidR="00B07943" w:rsidRDefault="00B07943" w:rsidP="00B07943">
      <w:pPr>
        <w:pStyle w:val="ListParagraph"/>
        <w:numPr>
          <w:ilvl w:val="0"/>
          <w:numId w:val="3"/>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B07943" w:rsidRDefault="00B07943" w:rsidP="00B07943">
      <w:pPr>
        <w:pStyle w:val="ListParagraph"/>
        <w:rPr>
          <w:rFonts w:ascii="Times New Roman" w:hAnsi="Times New Roman"/>
        </w:rPr>
      </w:pPr>
      <w:r>
        <w:rPr>
          <w:rFonts w:ascii="Times New Roman" w:hAnsi="Times New Roman"/>
        </w:rPr>
        <w:t xml:space="preserve"> As demonstrated by the SLOs, students build learning environments, incorporate classroom management strategies, encourage positive social interaction, and actively engage in learning and self-motivation. The developing teacher candidate understands and applies the professional and content knowledge in health and physical education. The teacher candidate will pursue a health enhancing level of fitness. Developing teacher candidates are physically literate individuals, gain knowledge of physical education/fitness programs and professions, and acquire knowledge of human anatomy, motor development, and kinesthesia.</w:t>
      </w:r>
    </w:p>
    <w:p w:rsidR="00B07943" w:rsidRPr="00671912" w:rsidRDefault="00B07943" w:rsidP="00B07943">
      <w:pPr>
        <w:pStyle w:val="ListParagraph"/>
        <w:rPr>
          <w:rFonts w:ascii="Times New Roman" w:hAnsi="Times New Roman"/>
        </w:rPr>
      </w:pPr>
    </w:p>
    <w:p w:rsidR="00B07943" w:rsidRPr="00671912" w:rsidRDefault="00B07943" w:rsidP="00B07943">
      <w:pPr>
        <w:pStyle w:val="ListParagraph"/>
        <w:numPr>
          <w:ilvl w:val="0"/>
          <w:numId w:val="3"/>
        </w:numPr>
        <w:rPr>
          <w:rFonts w:ascii="Times New Roman" w:hAnsi="Times New Roman"/>
        </w:rPr>
      </w:pPr>
      <w:r>
        <w:rPr>
          <w:rFonts w:ascii="Times New Roman" w:hAnsi="Times New Roman"/>
          <w:b/>
        </w:rPr>
        <w:t xml:space="preserve">Documented evidence of what students learned and did not learn based on SLOs. </w:t>
      </w:r>
    </w:p>
    <w:p w:rsidR="00B07943" w:rsidRDefault="00B07943" w:rsidP="00B07943">
      <w:pPr>
        <w:pStyle w:val="ListParagraph"/>
        <w:rPr>
          <w:rFonts w:ascii="Times New Roman" w:hAnsi="Times New Roman"/>
          <w:b/>
        </w:rPr>
      </w:pPr>
      <w:r>
        <w:rPr>
          <w:rFonts w:ascii="Times New Roman" w:hAnsi="Times New Roman"/>
          <w:b/>
        </w:rPr>
        <w:t>What students learned?</w:t>
      </w:r>
    </w:p>
    <w:p w:rsidR="00B07943" w:rsidRDefault="00B07943" w:rsidP="00B07943">
      <w:pPr>
        <w:pStyle w:val="ListParagraph"/>
        <w:rPr>
          <w:rFonts w:ascii="Times New Roman" w:eastAsia="Times New Roman" w:hAnsi="Times New Roman"/>
        </w:rPr>
      </w:pPr>
      <w:r>
        <w:rPr>
          <w:rFonts w:ascii="Times New Roman" w:hAnsi="Times New Roman"/>
        </w:rPr>
        <w:t xml:space="preserve"> </w:t>
      </w:r>
      <w:r w:rsidRPr="00FC1812">
        <w:rPr>
          <w:rFonts w:ascii="Times New Roman" w:eastAsia="Times New Roman" w:hAnsi="Times New Roman"/>
        </w:rPr>
        <w:t>As measured by the Teacher Intern Assessment Instrument (TIAI), candidates will plan and prepare lessons under six performance categories</w:t>
      </w:r>
      <w:r>
        <w:rPr>
          <w:rFonts w:ascii="Times New Roman" w:eastAsia="Times New Roman" w:hAnsi="Times New Roman"/>
        </w:rPr>
        <w:t xml:space="preserve">.  The SLO was exceeded with minimal scores in core content (3.75), Assessment (3.75), and Sequential Teaching (3.75). </w:t>
      </w:r>
    </w:p>
    <w:p w:rsidR="00B07943" w:rsidRDefault="00B07943" w:rsidP="00B07943">
      <w:pPr>
        <w:pStyle w:val="ListParagraph"/>
        <w:rPr>
          <w:rFonts w:asciiTheme="minorHAnsi" w:hAnsiTheme="minorHAnsi" w:cstheme="minorBidi"/>
        </w:rPr>
      </w:pPr>
    </w:p>
    <w:p w:rsidR="00B07943" w:rsidRDefault="00B07943" w:rsidP="00B07943">
      <w:pPr>
        <w:spacing w:after="1" w:line="239" w:lineRule="auto"/>
        <w:ind w:left="720"/>
        <w:rPr>
          <w:rFonts w:ascii="Times New Roman" w:eastAsia="Times New Roman" w:hAnsi="Times New Roman"/>
        </w:rPr>
      </w:pPr>
      <w:r>
        <w:rPr>
          <w:rFonts w:ascii="Times New Roman" w:eastAsia="Times New Roman" w:hAnsi="Times New Roman"/>
        </w:rPr>
        <w:t xml:space="preserve">Students </w:t>
      </w:r>
      <w:r w:rsidRPr="00FC1812">
        <w:rPr>
          <w:rFonts w:ascii="Times New Roman" w:eastAsia="Times New Roman" w:hAnsi="Times New Roman"/>
        </w:rPr>
        <w:t xml:space="preserve">will </w:t>
      </w:r>
      <w:r w:rsidRPr="007C38AF">
        <w:rPr>
          <w:rFonts w:ascii="Times New Roman" w:eastAsia="Times New Roman" w:hAnsi="Times New Roman"/>
        </w:rPr>
        <w:t>create a favorable learning environment</w:t>
      </w:r>
      <w:r>
        <w:rPr>
          <w:rFonts w:ascii="Times New Roman" w:eastAsia="Times New Roman" w:hAnsi="Times New Roman"/>
        </w:rPr>
        <w:t xml:space="preserve">.  The SLO was exceeded at 4.0 in each indicator. </w:t>
      </w:r>
    </w:p>
    <w:p w:rsidR="00B07943" w:rsidRDefault="00B07943" w:rsidP="00B07943">
      <w:pPr>
        <w:spacing w:after="1" w:line="239" w:lineRule="auto"/>
        <w:ind w:left="720"/>
        <w:rPr>
          <w:rFonts w:ascii="Times New Roman" w:eastAsia="Times New Roman" w:hAnsi="Times New Roman"/>
        </w:rPr>
      </w:pPr>
    </w:p>
    <w:p w:rsidR="00B07943" w:rsidRDefault="00B07943" w:rsidP="00B07943">
      <w:pPr>
        <w:spacing w:after="3" w:line="241" w:lineRule="auto"/>
        <w:ind w:left="720"/>
        <w:rPr>
          <w:rFonts w:ascii="Times New Roman" w:eastAsia="Times New Roman" w:hAnsi="Times New Roman"/>
        </w:rPr>
      </w:pPr>
      <w:r w:rsidRPr="00FC1812">
        <w:rPr>
          <w:rFonts w:ascii="Times New Roman" w:eastAsia="Times New Roman" w:hAnsi="Times New Roman"/>
        </w:rPr>
        <w:t xml:space="preserve">As measured by the Teacher Intern Assessment Instrument (TIAI), </w:t>
      </w:r>
      <w:r>
        <w:rPr>
          <w:rFonts w:ascii="Times New Roman" w:eastAsia="Times New Roman" w:hAnsi="Times New Roman"/>
        </w:rPr>
        <w:t>students</w:t>
      </w:r>
      <w:r w:rsidRPr="00FC1812">
        <w:rPr>
          <w:rFonts w:ascii="Times New Roman" w:eastAsia="Times New Roman" w:hAnsi="Times New Roman"/>
        </w:rPr>
        <w:t xml:space="preserve"> will</w:t>
      </w:r>
      <w:r w:rsidRPr="00D53863">
        <w:rPr>
          <w:rFonts w:ascii="Times New Roman" w:eastAsia="Times New Roman" w:hAnsi="Times New Roman"/>
        </w:rPr>
        <w:t xml:space="preserve"> demonst</w:t>
      </w:r>
      <w:r>
        <w:rPr>
          <w:rFonts w:ascii="Times New Roman" w:eastAsia="Times New Roman" w:hAnsi="Times New Roman"/>
        </w:rPr>
        <w:t xml:space="preserve">rate ten instructional skills whose scores exceeded the 3.0 minimum.  Instructional activities were at 3.7. Communicating high expectations 3.75. Critical thinking was 3.75. </w:t>
      </w:r>
    </w:p>
    <w:p w:rsidR="00B07943" w:rsidRDefault="00B07943" w:rsidP="00B07943">
      <w:pPr>
        <w:spacing w:after="3" w:line="241" w:lineRule="auto"/>
        <w:ind w:left="720"/>
        <w:rPr>
          <w:rFonts w:ascii="Times New Roman" w:eastAsia="Times New Roman" w:hAnsi="Times New Roman"/>
        </w:rPr>
      </w:pPr>
    </w:p>
    <w:p w:rsidR="00B07943" w:rsidRPr="007C38AF" w:rsidRDefault="00B07943" w:rsidP="00B07943">
      <w:pPr>
        <w:spacing w:after="3" w:line="241" w:lineRule="auto"/>
        <w:ind w:left="720"/>
        <w:rPr>
          <w:rFonts w:ascii="Times New Roman" w:eastAsia="Times New Roman" w:hAnsi="Times New Roman"/>
        </w:rPr>
      </w:pPr>
      <w:r>
        <w:rPr>
          <w:rFonts w:ascii="Times New Roman" w:eastAsia="Times New Roman" w:hAnsi="Times New Roman"/>
        </w:rPr>
        <w:t xml:space="preserve">PRAXIS II Subject Area Examination and PRAXIS II Principles of Teaching and Learning had a 100% pass rate allowing all students to move into Residency I and II. </w:t>
      </w:r>
    </w:p>
    <w:p w:rsidR="00B07943" w:rsidRDefault="00B07943" w:rsidP="00B07943">
      <w:pPr>
        <w:rPr>
          <w:rFonts w:asciiTheme="minorHAnsi" w:hAnsiTheme="minorHAnsi" w:cstheme="minorBidi"/>
        </w:rPr>
      </w:pPr>
      <w:r>
        <w:rPr>
          <w:rFonts w:asciiTheme="minorHAnsi" w:hAnsiTheme="minorHAnsi" w:cstheme="minorBidi"/>
        </w:rPr>
        <w:tab/>
      </w:r>
    </w:p>
    <w:p w:rsidR="00B07943" w:rsidRDefault="00B07943" w:rsidP="00B07943">
      <w:pPr>
        <w:ind w:left="720"/>
        <w:rPr>
          <w:rFonts w:asciiTheme="minorHAnsi" w:hAnsiTheme="minorHAnsi" w:cstheme="minorBidi"/>
        </w:rPr>
      </w:pPr>
      <w:r>
        <w:rPr>
          <w:rFonts w:asciiTheme="minorHAnsi" w:hAnsiTheme="minorHAnsi" w:cstheme="minorBidi"/>
        </w:rPr>
        <w:t xml:space="preserve">Content Knowledge examinations allowed students to demonstrate knowledge of the foundations of physical education, the elements of kinesiology, and the principles of anatomy and physiology. </w:t>
      </w:r>
    </w:p>
    <w:p w:rsidR="00B07943" w:rsidRDefault="00B07943" w:rsidP="00B07943">
      <w:pPr>
        <w:pStyle w:val="ListParagraph"/>
        <w:rPr>
          <w:rFonts w:ascii="Times New Roman" w:hAnsi="Times New Roman"/>
        </w:rPr>
      </w:pPr>
    </w:p>
    <w:p w:rsidR="00B07943" w:rsidRDefault="00B07943" w:rsidP="00B07943">
      <w:pPr>
        <w:pStyle w:val="ListParagraph"/>
        <w:rPr>
          <w:rFonts w:ascii="Times New Roman" w:hAnsi="Times New Roman"/>
        </w:rPr>
      </w:pPr>
      <w:r>
        <w:rPr>
          <w:rFonts w:ascii="Times New Roman" w:hAnsi="Times New Roman"/>
          <w:b/>
        </w:rPr>
        <w:t>What students did not learn based on SLOs?</w:t>
      </w:r>
    </w:p>
    <w:p w:rsidR="00B07943" w:rsidRDefault="00B07943" w:rsidP="00B07943">
      <w:pPr>
        <w:pStyle w:val="ListParagraph"/>
        <w:rPr>
          <w:rFonts w:ascii="Times New Roman" w:hAnsi="Times New Roman"/>
        </w:rPr>
      </w:pPr>
      <w:r>
        <w:rPr>
          <w:rFonts w:ascii="Times New Roman" w:hAnsi="Times New Roman"/>
        </w:rPr>
        <w:t xml:space="preserve"> Differentiated instruction continues to be the learning block for many of the students.  The inclusive classroom model employs concepts foreign to students who have been previously trained in whole group instruction, teaching to the middle of the group’s abilities, and meeting the needs of exceptional learners.  Especially in physical education, whole group instruction is the standard for many programs.  Learning to differentiate instruction among students is a skill that needs stronger focus. </w:t>
      </w:r>
    </w:p>
    <w:p w:rsidR="00B07943" w:rsidRDefault="00B07943" w:rsidP="00B07943">
      <w:pPr>
        <w:pStyle w:val="ListParagraph"/>
        <w:rPr>
          <w:rFonts w:ascii="Times New Roman" w:hAnsi="Times New Roman"/>
        </w:rPr>
      </w:pPr>
    </w:p>
    <w:p w:rsidR="00B07943" w:rsidRDefault="00B07943" w:rsidP="00B07943">
      <w:pPr>
        <w:pStyle w:val="ListParagraph"/>
        <w:rPr>
          <w:rFonts w:ascii="Times New Roman" w:hAnsi="Times New Roman"/>
        </w:rPr>
      </w:pPr>
      <w:r>
        <w:rPr>
          <w:rFonts w:ascii="Times New Roman" w:hAnsi="Times New Roman"/>
        </w:rPr>
        <w:t xml:space="preserve">Content knowledge pass rates are a concern: Foundations of Physical Education (88% decreased to 77%); Anatomy and Physiology (increased from 89% to 96%); Kinesiology (66% increased to 73%).  Foundations and Kinesiology are the major areas of concern. </w:t>
      </w:r>
    </w:p>
    <w:p w:rsidR="00B07943" w:rsidRDefault="00B07943" w:rsidP="00B07943">
      <w:pPr>
        <w:pStyle w:val="ListParagraph"/>
        <w:rPr>
          <w:rFonts w:ascii="Times New Roman" w:hAnsi="Times New Roman"/>
        </w:rPr>
      </w:pPr>
    </w:p>
    <w:p w:rsidR="00B07943" w:rsidRPr="00553007" w:rsidRDefault="00B07943" w:rsidP="00B07943">
      <w:pPr>
        <w:pStyle w:val="ListParagraph"/>
        <w:numPr>
          <w:ilvl w:val="0"/>
          <w:numId w:val="3"/>
        </w:numPr>
        <w:rPr>
          <w:rFonts w:ascii="Times New Roman" w:hAnsi="Times New Roman"/>
          <w:i/>
          <w:iCs/>
        </w:rPr>
      </w:pPr>
      <w:r w:rsidRPr="00553007">
        <w:rPr>
          <w:rFonts w:ascii="Times New Roman" w:hAnsi="Times New Roman"/>
          <w:b/>
          <w:iCs/>
        </w:rPr>
        <w:t>Evidence of continuing appropriate programmatic SLOs.</w:t>
      </w:r>
    </w:p>
    <w:p w:rsidR="00B07943" w:rsidRPr="00A22B1C" w:rsidRDefault="00B07943" w:rsidP="00B07943">
      <w:pPr>
        <w:pStyle w:val="ListParagraph"/>
        <w:rPr>
          <w:rFonts w:ascii="Times New Roman" w:hAnsi="Times New Roman"/>
          <w:iCs/>
        </w:rPr>
      </w:pPr>
      <w:r>
        <w:rPr>
          <w:rFonts w:ascii="Times New Roman" w:hAnsi="Times New Roman"/>
          <w:iCs/>
        </w:rPr>
        <w:t xml:space="preserve">The SLOs are being continued without revision because they offer a strong diagnostic analysis of student growth in instructional practices and instructional activities design.  The Comprehensive Content Knowledge examinations provide important evidence of knowledge of the discipline.    </w:t>
      </w:r>
    </w:p>
    <w:p w:rsidR="00B07943" w:rsidRDefault="00B07943" w:rsidP="00B07943">
      <w:pPr>
        <w:rPr>
          <w:rFonts w:ascii="Times New Roman" w:hAnsi="Times New Roman"/>
          <w:i/>
          <w:iCs/>
        </w:rPr>
      </w:pPr>
    </w:p>
    <w:p w:rsidR="00B07943" w:rsidRPr="001072F8" w:rsidRDefault="00B07943" w:rsidP="00B07943">
      <w:pPr>
        <w:pStyle w:val="ListParagraph"/>
        <w:numPr>
          <w:ilvl w:val="0"/>
          <w:numId w:val="3"/>
        </w:numPr>
        <w:rPr>
          <w:rFonts w:ascii="Times New Roman" w:hAnsi="Times New Roman"/>
          <w:i/>
          <w:iCs/>
        </w:rPr>
      </w:pPr>
      <w:r>
        <w:rPr>
          <w:rFonts w:ascii="Times New Roman" w:hAnsi="Times New Roman"/>
          <w:b/>
          <w:iCs/>
        </w:rPr>
        <w:t xml:space="preserve">Evidence of programmatic revision or improvement for weak results on SLOs. </w:t>
      </w:r>
    </w:p>
    <w:p w:rsidR="00B07943" w:rsidRPr="00A22B1C" w:rsidRDefault="00B07943" w:rsidP="00B07943">
      <w:pPr>
        <w:pStyle w:val="ListParagraph"/>
        <w:rPr>
          <w:rFonts w:ascii="Times New Roman" w:hAnsi="Times New Roman"/>
          <w:iCs/>
        </w:rPr>
      </w:pPr>
      <w:r>
        <w:rPr>
          <w:rFonts w:ascii="Times New Roman" w:hAnsi="Times New Roman"/>
          <w:iCs/>
        </w:rPr>
        <w:lastRenderedPageBreak/>
        <w:t xml:space="preserve">The content knowledge examinations cause concern for faculty and the effectiveness of the instructional delivery.  All three courses are online which may be an instructional effectiveness issue.  Faculty have revised all syllabi and Canvas Course Shells to incorporate more student interaction with one another, the instructor, and the content. </w:t>
      </w:r>
    </w:p>
    <w:p w:rsidR="00B07943" w:rsidRPr="001072F8" w:rsidRDefault="00B07943" w:rsidP="00B07943">
      <w:pPr>
        <w:pStyle w:val="ListParagraph"/>
        <w:rPr>
          <w:rFonts w:ascii="Times New Roman" w:hAnsi="Times New Roman"/>
          <w:i/>
          <w:iCs/>
        </w:rPr>
      </w:pP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0BD3"/>
    <w:multiLevelType w:val="hybridMultilevel"/>
    <w:tmpl w:val="891C9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71609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E195C"/>
    <w:multiLevelType w:val="hybridMultilevel"/>
    <w:tmpl w:val="A370B0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43"/>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27DA9"/>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75C"/>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4FF1"/>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0A9E"/>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07943"/>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3F1D"/>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5249E"/>
    <w:rsid w:val="00F6032D"/>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0935"/>
  <w15:chartTrackingRefBased/>
  <w15:docId w15:val="{91632726-B8A3-482E-BDA8-96E077E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43"/>
    <w:pPr>
      <w:ind w:left="720"/>
    </w:pPr>
  </w:style>
  <w:style w:type="table" w:styleId="TableGrid">
    <w:name w:val="Table Grid"/>
    <w:basedOn w:val="TableNormal"/>
    <w:uiPriority w:val="39"/>
    <w:rsid w:val="00B0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Bullock, Charles</cp:lastModifiedBy>
  <cp:revision>2</cp:revision>
  <dcterms:created xsi:type="dcterms:W3CDTF">2018-06-01T16:04:00Z</dcterms:created>
  <dcterms:modified xsi:type="dcterms:W3CDTF">2018-06-01T16:04:00Z</dcterms:modified>
</cp:coreProperties>
</file>