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4F" w:rsidRDefault="00D6114F" w:rsidP="00D6114F">
      <w:pPr>
        <w:jc w:val="center"/>
        <w:rPr>
          <w:rFonts w:ascii="Times New Roman" w:hAnsi="Times New Roman"/>
          <w:b/>
        </w:rPr>
      </w:pPr>
      <w:r>
        <w:rPr>
          <w:rFonts w:ascii="Times New Roman" w:hAnsi="Times New Roman"/>
          <w:b/>
        </w:rPr>
        <w:t>PROGRAM ASSESSMENT REPORTS</w:t>
      </w:r>
    </w:p>
    <w:p w:rsidR="00D6114F" w:rsidRDefault="00D6114F" w:rsidP="00D6114F">
      <w:pPr>
        <w:jc w:val="center"/>
        <w:rPr>
          <w:rFonts w:ascii="Times New Roman" w:hAnsi="Times New Roman"/>
          <w:b/>
        </w:rPr>
      </w:pPr>
      <w:r>
        <w:rPr>
          <w:rFonts w:ascii="Times New Roman" w:hAnsi="Times New Roman"/>
          <w:b/>
        </w:rPr>
        <w:t xml:space="preserve">SCHOOL OF EDUCATION </w:t>
      </w:r>
    </w:p>
    <w:p w:rsidR="00D6114F" w:rsidRDefault="00D6114F" w:rsidP="00D6114F">
      <w:pPr>
        <w:jc w:val="center"/>
        <w:rPr>
          <w:rFonts w:ascii="Times New Roman" w:hAnsi="Times New Roman"/>
          <w:b/>
        </w:rPr>
      </w:pPr>
      <w:r>
        <w:rPr>
          <w:rFonts w:ascii="Times New Roman" w:hAnsi="Times New Roman"/>
          <w:b/>
        </w:rPr>
        <w:t>MASTER DEGREE PROGRAMS</w:t>
      </w:r>
    </w:p>
    <w:p w:rsidR="00D6114F" w:rsidRDefault="00D6114F" w:rsidP="00D6114F">
      <w:pPr>
        <w:jc w:val="center"/>
        <w:rPr>
          <w:rFonts w:ascii="Times New Roman" w:hAnsi="Times New Roman"/>
          <w:b/>
        </w:rPr>
      </w:pPr>
      <w:r>
        <w:rPr>
          <w:rFonts w:ascii="Times New Roman" w:hAnsi="Times New Roman"/>
          <w:b/>
        </w:rPr>
        <w:t>DEPARTMENT OF CURRICULUM AND INSTRUCTION</w:t>
      </w:r>
    </w:p>
    <w:p w:rsidR="00D6114F" w:rsidRDefault="00D6114F" w:rsidP="00D6114F">
      <w:pPr>
        <w:rPr>
          <w:rFonts w:ascii="Times New Roman" w:hAnsi="Times New Roman"/>
          <w:b/>
        </w:rPr>
      </w:pPr>
    </w:p>
    <w:p w:rsidR="00D6114F" w:rsidRDefault="00D6114F" w:rsidP="00D6114F">
      <w:pPr>
        <w:rPr>
          <w:rFonts w:ascii="Times New Roman" w:hAnsi="Times New Roman"/>
          <w:b/>
        </w:rPr>
      </w:pPr>
      <w:r>
        <w:rPr>
          <w:rFonts w:ascii="Times New Roman" w:hAnsi="Times New Roman"/>
          <w:b/>
        </w:rPr>
        <w:t>Goals and Objectives:</w:t>
      </w:r>
    </w:p>
    <w:p w:rsidR="00D6114F" w:rsidRDefault="00D6114F" w:rsidP="00D6114F">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D6114F" w:rsidRDefault="00D6114F" w:rsidP="00D6114F">
      <w:pPr>
        <w:rPr>
          <w:rFonts w:ascii="Times New Roman" w:hAnsi="Times New Roman"/>
        </w:rPr>
      </w:pPr>
    </w:p>
    <w:p w:rsidR="00D6114F" w:rsidRDefault="00D6114F" w:rsidP="00D6114F">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D6114F" w:rsidRDefault="00D6114F" w:rsidP="00D6114F">
      <w:pPr>
        <w:pStyle w:val="ListParagraph"/>
        <w:numPr>
          <w:ilvl w:val="0"/>
          <w:numId w:val="2"/>
        </w:numPr>
        <w:rPr>
          <w:rFonts w:ascii="Times New Roman" w:hAnsi="Times New Roman"/>
        </w:rPr>
      </w:pPr>
      <w:r>
        <w:rPr>
          <w:rFonts w:ascii="Times New Roman" w:hAnsi="Times New Roman"/>
        </w:rPr>
        <w:t>earning academic credentials that may allow them to advance in the chosen field of employment;</w:t>
      </w:r>
    </w:p>
    <w:p w:rsidR="00D6114F" w:rsidRDefault="00D6114F" w:rsidP="00D6114F">
      <w:pPr>
        <w:pStyle w:val="ListParagraph"/>
        <w:numPr>
          <w:ilvl w:val="0"/>
          <w:numId w:val="2"/>
        </w:numPr>
        <w:rPr>
          <w:rFonts w:ascii="Times New Roman" w:hAnsi="Times New Roman"/>
        </w:rPr>
      </w:pPr>
      <w:r>
        <w:rPr>
          <w:rFonts w:ascii="Times New Roman" w:hAnsi="Times New Roman"/>
        </w:rPr>
        <w:t>experiencing personal growth and understanding through in-depth study in the area of concentration and certification;</w:t>
      </w:r>
    </w:p>
    <w:p w:rsidR="00D6114F" w:rsidRDefault="00D6114F" w:rsidP="00D6114F">
      <w:pPr>
        <w:pStyle w:val="ListParagraph"/>
        <w:numPr>
          <w:ilvl w:val="0"/>
          <w:numId w:val="2"/>
        </w:numPr>
        <w:rPr>
          <w:rFonts w:ascii="Times New Roman" w:hAnsi="Times New Roman"/>
        </w:rPr>
      </w:pPr>
      <w:r>
        <w:rPr>
          <w:rFonts w:ascii="Times New Roman" w:hAnsi="Times New Roman"/>
        </w:rPr>
        <w:t>expanding the student’s Christian values through course work and campus activities;</w:t>
      </w:r>
    </w:p>
    <w:p w:rsidR="00D6114F" w:rsidRDefault="00D6114F" w:rsidP="00D6114F">
      <w:pPr>
        <w:pStyle w:val="ListParagraph"/>
        <w:numPr>
          <w:ilvl w:val="0"/>
          <w:numId w:val="2"/>
        </w:numPr>
        <w:rPr>
          <w:rFonts w:ascii="Times New Roman" w:hAnsi="Times New Roman"/>
        </w:rPr>
      </w:pPr>
      <w:r>
        <w:rPr>
          <w:rFonts w:ascii="Times New Roman" w:hAnsi="Times New Roman"/>
        </w:rPr>
        <w:t>specializing in a chosen area or discipline;</w:t>
      </w:r>
    </w:p>
    <w:p w:rsidR="00D6114F" w:rsidRDefault="00D6114F" w:rsidP="00D6114F">
      <w:pPr>
        <w:pStyle w:val="ListParagraph"/>
        <w:numPr>
          <w:ilvl w:val="0"/>
          <w:numId w:val="2"/>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D6114F" w:rsidRPr="00400EAC" w:rsidRDefault="00D6114F" w:rsidP="00D6114F">
      <w:pPr>
        <w:pStyle w:val="ListParagraph"/>
        <w:numPr>
          <w:ilvl w:val="0"/>
          <w:numId w:val="2"/>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D6114F" w:rsidRPr="00400EAC" w:rsidRDefault="00D6114F" w:rsidP="00D6114F">
      <w:pPr>
        <w:rPr>
          <w:rFonts w:ascii="Times New Roman" w:hAnsi="Times New Roman"/>
        </w:rPr>
      </w:pPr>
    </w:p>
    <w:p w:rsidR="00D6114F" w:rsidRDefault="00D6114F" w:rsidP="00D6114F">
      <w:pPr>
        <w:rPr>
          <w:rFonts w:ascii="Times New Roman" w:hAnsi="Times New Roman"/>
          <w:b/>
        </w:rPr>
      </w:pPr>
      <w:r w:rsidRPr="00400EAC">
        <w:rPr>
          <w:rFonts w:ascii="Times New Roman" w:hAnsi="Times New Roman"/>
          <w:b/>
        </w:rPr>
        <w:t xml:space="preserve">M.Ed. </w:t>
      </w:r>
      <w:r>
        <w:rPr>
          <w:rFonts w:ascii="Times New Roman" w:hAnsi="Times New Roman"/>
          <w:b/>
        </w:rPr>
        <w:t xml:space="preserve">Art of Teaching (MAT) </w:t>
      </w:r>
      <w:r w:rsidRPr="00400EAC">
        <w:rPr>
          <w:rFonts w:ascii="Times New Roman" w:hAnsi="Times New Roman"/>
          <w:b/>
        </w:rPr>
        <w:t xml:space="preserve">Elementary Education </w:t>
      </w:r>
    </w:p>
    <w:p w:rsidR="00D6114F" w:rsidRDefault="00D6114F" w:rsidP="00D6114F">
      <w:pPr>
        <w:rPr>
          <w:rFonts w:ascii="Times New Roman" w:hAnsi="Times New Roman"/>
          <w:b/>
        </w:rPr>
      </w:pPr>
    </w:p>
    <w:p w:rsidR="00D6114F" w:rsidRPr="00400EAC" w:rsidRDefault="00D6114F" w:rsidP="00D6114F">
      <w:pPr>
        <w:rPr>
          <w:rFonts w:ascii="Times New Roman" w:hAnsi="Times New Roman"/>
          <w:b/>
        </w:rPr>
      </w:pPr>
      <w:r>
        <w:rPr>
          <w:rFonts w:ascii="Times New Roman" w:hAnsi="Times New Roman"/>
          <w:b/>
        </w:rPr>
        <w:t xml:space="preserve">Mission: The M.Ed. Art of Teaching (MAT) Elementary Education </w:t>
      </w:r>
    </w:p>
    <w:p w:rsidR="00D6114F" w:rsidRPr="00400EAC" w:rsidRDefault="00D6114F" w:rsidP="00D6114F">
      <w:pPr>
        <w:rPr>
          <w:rFonts w:ascii="Times New Roman" w:hAnsi="Times New Roman"/>
        </w:rPr>
      </w:pPr>
    </w:p>
    <w:p w:rsidR="00D6114F" w:rsidRPr="00400EAC" w:rsidRDefault="00D6114F" w:rsidP="00D6114F">
      <w:pPr>
        <w:pStyle w:val="ListParagraph"/>
        <w:numPr>
          <w:ilvl w:val="0"/>
          <w:numId w:val="1"/>
        </w:numPr>
        <w:rPr>
          <w:rFonts w:ascii="Times New Roman" w:hAnsi="Times New Roman"/>
          <w:b/>
        </w:rPr>
      </w:pPr>
      <w:r w:rsidRPr="00400EAC">
        <w:rPr>
          <w:rFonts w:ascii="Times New Roman" w:hAnsi="Times New Roman"/>
          <w:b/>
        </w:rPr>
        <w:t>Within the institution’s mission to provide academic programs to promote student learning (WCU 1) and to provide an environment that supports student learning (WCU 2), the M.Ed. Elementary Education has five singular, specific, and measureable SLOs.</w:t>
      </w:r>
    </w:p>
    <w:p w:rsidR="00D6114F" w:rsidRPr="00400EAC" w:rsidRDefault="00D6114F" w:rsidP="00D6114F">
      <w:pPr>
        <w:pStyle w:val="ListParagraph"/>
        <w:numPr>
          <w:ilvl w:val="1"/>
          <w:numId w:val="1"/>
        </w:numPr>
        <w:rPr>
          <w:rFonts w:ascii="Times New Roman" w:hAnsi="Times New Roman"/>
        </w:rPr>
      </w:pPr>
      <w:r w:rsidRPr="009D3446">
        <w:rPr>
          <w:rFonts w:ascii="Times New Roman" w:hAnsi="Times New Roman"/>
          <w:b/>
        </w:rPr>
        <w:t>Graduate School of Education Exit Survey</w:t>
      </w:r>
      <w:r w:rsidRPr="00400EAC">
        <w:rPr>
          <w:rFonts w:ascii="Times New Roman" w:hAnsi="Times New Roman"/>
        </w:rPr>
        <w:t xml:space="preserve"> requires students to demonstrate the ability to analyze the 12 program components </w:t>
      </w:r>
      <w:r>
        <w:rPr>
          <w:rFonts w:ascii="Times New Roman" w:hAnsi="Times New Roman"/>
        </w:rPr>
        <w:t xml:space="preserve">with a three or higher </w:t>
      </w:r>
      <w:r w:rsidRPr="00400EAC">
        <w:rPr>
          <w:rFonts w:ascii="Times New Roman" w:hAnsi="Times New Roman"/>
        </w:rPr>
        <w:t>on a five point Likert scale:</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My advisor provides high quality guidance information for my program;</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My instructors are highly qualified in their subject areas. They communicate their knowledge in the university classroom;</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The Library (its databases, books, media, periodicals, and online resources) supports a quality learning experience in my program;</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The facilities for the School of Education encourage a quality learning experience;</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My university classrooms support current technology necessary for my preparation as an educator in the modern classroom;</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My instructors practice what they preach by modeling best teaching practices;</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 xml:space="preserve">I feel well prepared to communicate my ideas in writing addressing current issues in my field; </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I am well prepared to critically evaluate the literature in my field and to synthesize the literature from a variety of sources;</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The School of Education makes available classes that will allow me to complete my program in a timely manner;</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 xml:space="preserve">I believe there is a strong commitment on the part of faculty and staff in my program to meet my individual needs; </w:t>
      </w:r>
    </w:p>
    <w:p w:rsidR="00D6114F" w:rsidRPr="00400EAC" w:rsidRDefault="00D6114F" w:rsidP="00D6114F">
      <w:pPr>
        <w:pStyle w:val="ListParagraph"/>
        <w:numPr>
          <w:ilvl w:val="2"/>
          <w:numId w:val="1"/>
        </w:numPr>
        <w:rPr>
          <w:rFonts w:ascii="Times New Roman" w:hAnsi="Times New Roman"/>
        </w:rPr>
      </w:pPr>
      <w:r>
        <w:rPr>
          <w:rFonts w:ascii="Times New Roman" w:hAnsi="Times New Roman"/>
        </w:rPr>
        <w:t>The School of Education is carrying forth its mission to prepare me as a confident, caring, reflective decision-maker;</w:t>
      </w:r>
    </w:p>
    <w:p w:rsidR="00D6114F" w:rsidRDefault="00D6114F" w:rsidP="00D6114F">
      <w:pPr>
        <w:pStyle w:val="ListParagraph"/>
        <w:numPr>
          <w:ilvl w:val="2"/>
          <w:numId w:val="1"/>
        </w:numPr>
        <w:rPr>
          <w:rFonts w:ascii="Times New Roman" w:hAnsi="Times New Roman"/>
        </w:rPr>
      </w:pPr>
      <w:r>
        <w:rPr>
          <w:rFonts w:ascii="Times New Roman" w:hAnsi="Times New Roman"/>
        </w:rPr>
        <w:t xml:space="preserve">I encounter diversity in my course content, my interactions with faculty, and discussions with students. </w:t>
      </w:r>
    </w:p>
    <w:p w:rsidR="00D6114F" w:rsidRPr="000175D8" w:rsidRDefault="00D6114F" w:rsidP="00D6114F">
      <w:pPr>
        <w:pStyle w:val="ListParagraph"/>
        <w:ind w:left="2160"/>
        <w:rPr>
          <w:rFonts w:ascii="Times New Roman" w:hAnsi="Times New Roman"/>
        </w:rPr>
      </w:pPr>
      <w:r w:rsidRPr="000175D8">
        <w:rPr>
          <w:rFonts w:ascii="Times New Roman" w:hAnsi="Times New Roman"/>
        </w:rPr>
        <w:lastRenderedPageBreak/>
        <w:t>Table 1. Exit Survey</w:t>
      </w:r>
    </w:p>
    <w:tbl>
      <w:tblPr>
        <w:tblStyle w:val="TableGrid"/>
        <w:tblW w:w="0" w:type="auto"/>
        <w:tblInd w:w="2160" w:type="dxa"/>
        <w:tblLook w:val="04A0" w:firstRow="1" w:lastRow="0" w:firstColumn="1" w:lastColumn="0" w:noHBand="0" w:noVBand="1"/>
      </w:tblPr>
      <w:tblGrid>
        <w:gridCol w:w="2695"/>
        <w:gridCol w:w="1530"/>
        <w:gridCol w:w="1620"/>
        <w:gridCol w:w="1345"/>
      </w:tblGrid>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Indicators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2015-2016</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2016-2017</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2017-2018</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Advisor Effectiveness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4.3</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Faculty Expertise</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4.3</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Library Resources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3.5</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3.5</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4.7</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Modern Facilities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4.3</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Technology Resources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4.0</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4.0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4.7</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Best Practices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4.0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4.3</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Scholarly Writing Training</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4.3</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Research Skills Training</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4.7</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Class Availability</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4.7</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Individual Needs Met</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4.3</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School Mission Realized</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4.7</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 xml:space="preserve">Diversity </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4.5</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5.0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4.3</w:t>
            </w:r>
          </w:p>
        </w:tc>
      </w:tr>
    </w:tbl>
    <w:p w:rsidR="00D6114F" w:rsidRPr="00400EAC" w:rsidRDefault="00D6114F" w:rsidP="00D6114F">
      <w:pPr>
        <w:pStyle w:val="ListParagraph"/>
        <w:numPr>
          <w:ilvl w:val="1"/>
          <w:numId w:val="1"/>
        </w:numPr>
        <w:rPr>
          <w:rFonts w:ascii="Times New Roman" w:hAnsi="Times New Roman"/>
        </w:rPr>
      </w:pPr>
      <w:r w:rsidRPr="009D3446">
        <w:rPr>
          <w:rFonts w:ascii="Times New Roman" w:hAnsi="Times New Roman"/>
          <w:b/>
        </w:rPr>
        <w:t>Comprehensive Examination</w:t>
      </w:r>
      <w:r w:rsidRPr="00400EAC">
        <w:rPr>
          <w:rFonts w:ascii="Times New Roman" w:hAnsi="Times New Roman"/>
        </w:rPr>
        <w:t xml:space="preserve">: Students </w:t>
      </w:r>
      <w:r>
        <w:rPr>
          <w:rFonts w:ascii="Times New Roman" w:hAnsi="Times New Roman"/>
        </w:rPr>
        <w:t xml:space="preserve">(90%) </w:t>
      </w:r>
      <w:r w:rsidRPr="00400EAC">
        <w:rPr>
          <w:rFonts w:ascii="Times New Roman" w:hAnsi="Times New Roman"/>
        </w:rPr>
        <w:t>pass the comprehensive examination with a 3 or higher on a five point Likert scale rubric.</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Ability to Demonstrate Content Knowledge at a Graduate Level</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Ability to Problem Solve Based on a Scenario</w:t>
      </w:r>
    </w:p>
    <w:p w:rsidR="00D6114F" w:rsidRDefault="00D6114F" w:rsidP="00D6114F">
      <w:pPr>
        <w:pStyle w:val="ListParagraph"/>
        <w:numPr>
          <w:ilvl w:val="2"/>
          <w:numId w:val="1"/>
        </w:numPr>
        <w:rPr>
          <w:rFonts w:ascii="Times New Roman" w:hAnsi="Times New Roman"/>
        </w:rPr>
      </w:pPr>
      <w:r w:rsidRPr="00400EAC">
        <w:rPr>
          <w:rFonts w:ascii="Times New Roman" w:hAnsi="Times New Roman"/>
        </w:rPr>
        <w:t>Ability to Analyze and Evaluate Information Presented in the Examination</w:t>
      </w:r>
    </w:p>
    <w:p w:rsidR="00D6114F" w:rsidRPr="000175D8" w:rsidRDefault="00D6114F" w:rsidP="00D6114F">
      <w:pPr>
        <w:pStyle w:val="ListParagraph"/>
        <w:ind w:left="2160"/>
        <w:rPr>
          <w:rFonts w:ascii="Times New Roman" w:hAnsi="Times New Roman"/>
        </w:rPr>
      </w:pPr>
      <w:r w:rsidRPr="000175D8">
        <w:rPr>
          <w:rFonts w:ascii="Times New Roman" w:hAnsi="Times New Roman"/>
        </w:rPr>
        <w:t>Table 2. Comprehensive Examination Results</w:t>
      </w:r>
    </w:p>
    <w:tbl>
      <w:tblPr>
        <w:tblStyle w:val="TableGrid"/>
        <w:tblW w:w="0" w:type="auto"/>
        <w:tblInd w:w="2160" w:type="dxa"/>
        <w:tblLook w:val="04A0" w:firstRow="1" w:lastRow="0" w:firstColumn="1" w:lastColumn="0" w:noHBand="0" w:noVBand="1"/>
      </w:tblPr>
      <w:tblGrid>
        <w:gridCol w:w="1920"/>
        <w:gridCol w:w="1756"/>
        <w:gridCol w:w="1757"/>
        <w:gridCol w:w="1757"/>
      </w:tblGrid>
      <w:tr w:rsidR="00D6114F" w:rsidTr="005261DB">
        <w:tc>
          <w:tcPr>
            <w:tcW w:w="2337" w:type="dxa"/>
          </w:tcPr>
          <w:p w:rsidR="00D6114F" w:rsidRDefault="00D6114F" w:rsidP="005261DB">
            <w:pPr>
              <w:pStyle w:val="ListParagraph"/>
              <w:ind w:left="0"/>
              <w:rPr>
                <w:rFonts w:ascii="Times New Roman" w:hAnsi="Times New Roman"/>
              </w:rPr>
            </w:pPr>
            <w:r>
              <w:rPr>
                <w:rFonts w:ascii="Times New Roman" w:hAnsi="Times New Roman"/>
              </w:rPr>
              <w:t>Indicators</w:t>
            </w:r>
          </w:p>
        </w:tc>
        <w:tc>
          <w:tcPr>
            <w:tcW w:w="2337" w:type="dxa"/>
          </w:tcPr>
          <w:p w:rsidR="00D6114F" w:rsidRDefault="00D6114F" w:rsidP="005261DB">
            <w:pPr>
              <w:pStyle w:val="ListParagraph"/>
              <w:ind w:left="0"/>
              <w:jc w:val="center"/>
              <w:rPr>
                <w:rFonts w:ascii="Times New Roman" w:hAnsi="Times New Roman"/>
              </w:rPr>
            </w:pPr>
            <w:r>
              <w:rPr>
                <w:rFonts w:ascii="Times New Roman" w:hAnsi="Times New Roman"/>
              </w:rPr>
              <w:t>2015-2016</w:t>
            </w:r>
          </w:p>
        </w:tc>
        <w:tc>
          <w:tcPr>
            <w:tcW w:w="2338" w:type="dxa"/>
          </w:tcPr>
          <w:p w:rsidR="00D6114F" w:rsidRDefault="00D6114F" w:rsidP="005261DB">
            <w:pPr>
              <w:pStyle w:val="ListParagraph"/>
              <w:ind w:left="0"/>
              <w:jc w:val="center"/>
              <w:rPr>
                <w:rFonts w:ascii="Times New Roman" w:hAnsi="Times New Roman"/>
              </w:rPr>
            </w:pPr>
            <w:r>
              <w:rPr>
                <w:rFonts w:ascii="Times New Roman" w:hAnsi="Times New Roman"/>
              </w:rPr>
              <w:t>2016-2017</w:t>
            </w:r>
          </w:p>
        </w:tc>
        <w:tc>
          <w:tcPr>
            <w:tcW w:w="2338" w:type="dxa"/>
          </w:tcPr>
          <w:p w:rsidR="00D6114F" w:rsidRDefault="00D6114F" w:rsidP="005261DB">
            <w:pPr>
              <w:pStyle w:val="ListParagraph"/>
              <w:ind w:left="0"/>
              <w:jc w:val="center"/>
              <w:rPr>
                <w:rFonts w:ascii="Times New Roman" w:hAnsi="Times New Roman"/>
              </w:rPr>
            </w:pPr>
            <w:r>
              <w:rPr>
                <w:rFonts w:ascii="Times New Roman" w:hAnsi="Times New Roman"/>
              </w:rPr>
              <w:t>2017-2018</w:t>
            </w:r>
          </w:p>
        </w:tc>
      </w:tr>
      <w:tr w:rsidR="00D6114F" w:rsidTr="005261DB">
        <w:tc>
          <w:tcPr>
            <w:tcW w:w="2337" w:type="dxa"/>
          </w:tcPr>
          <w:p w:rsidR="00D6114F" w:rsidRDefault="00D6114F" w:rsidP="005261DB">
            <w:pPr>
              <w:pStyle w:val="ListParagraph"/>
              <w:ind w:left="0"/>
              <w:rPr>
                <w:rFonts w:ascii="Times New Roman" w:hAnsi="Times New Roman"/>
              </w:rPr>
            </w:pPr>
            <w:r>
              <w:rPr>
                <w:rFonts w:ascii="Times New Roman" w:hAnsi="Times New Roman"/>
              </w:rPr>
              <w:t>Percentage Passed</w:t>
            </w:r>
          </w:p>
        </w:tc>
        <w:tc>
          <w:tcPr>
            <w:tcW w:w="2337"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c>
          <w:tcPr>
            <w:tcW w:w="2338"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c>
          <w:tcPr>
            <w:tcW w:w="2338"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r>
    </w:tbl>
    <w:p w:rsidR="00D6114F" w:rsidRPr="00400EAC" w:rsidRDefault="00D6114F" w:rsidP="00D6114F">
      <w:pPr>
        <w:pStyle w:val="ListParagraph"/>
        <w:numPr>
          <w:ilvl w:val="1"/>
          <w:numId w:val="1"/>
        </w:numPr>
        <w:rPr>
          <w:rFonts w:ascii="Times New Roman" w:hAnsi="Times New Roman"/>
        </w:rPr>
      </w:pPr>
      <w:r w:rsidRPr="009D3446">
        <w:rPr>
          <w:rFonts w:ascii="Times New Roman" w:hAnsi="Times New Roman"/>
          <w:b/>
        </w:rPr>
        <w:t>Interdisciplinary Unit</w:t>
      </w:r>
      <w:r w:rsidR="00E1385C">
        <w:rPr>
          <w:rFonts w:ascii="Times New Roman" w:hAnsi="Times New Roman"/>
          <w:b/>
        </w:rPr>
        <w:t xml:space="preserve"> (EDU 606)</w:t>
      </w:r>
      <w:r w:rsidRPr="00400EAC">
        <w:rPr>
          <w:rFonts w:ascii="Times New Roman" w:hAnsi="Times New Roman"/>
        </w:rPr>
        <w:t xml:space="preserve">: Students design an interdisciplinary unit earning a 3 or higher on a five point Likert scale rubric. </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Apply Scan and Cluster Skills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Align Broad-Based Standards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Implement the Construction of a Curriculum Umbrella</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Implement the Construction of a Curriculum Web</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 xml:space="preserve">Design Big Understandings, Big Questions, Big Assessment Task </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Design Task Specific Rubric</w:t>
      </w:r>
    </w:p>
    <w:p w:rsidR="00D6114F" w:rsidRDefault="00D6114F" w:rsidP="00D6114F">
      <w:pPr>
        <w:pStyle w:val="ListParagraph"/>
        <w:numPr>
          <w:ilvl w:val="2"/>
          <w:numId w:val="1"/>
        </w:numPr>
        <w:rPr>
          <w:rFonts w:ascii="Times New Roman" w:hAnsi="Times New Roman"/>
        </w:rPr>
      </w:pPr>
      <w:r w:rsidRPr="00400EAC">
        <w:rPr>
          <w:rFonts w:ascii="Times New Roman" w:hAnsi="Times New Roman"/>
        </w:rPr>
        <w:t>Define and Defend the Unit’s Relevance</w:t>
      </w:r>
    </w:p>
    <w:p w:rsidR="00D6114F" w:rsidRPr="000175D8" w:rsidRDefault="00D6114F" w:rsidP="00D6114F">
      <w:pPr>
        <w:pStyle w:val="ListParagraph"/>
        <w:ind w:left="2160"/>
        <w:rPr>
          <w:rFonts w:ascii="Times New Roman" w:hAnsi="Times New Roman"/>
        </w:rPr>
      </w:pPr>
      <w:r w:rsidRPr="000175D8">
        <w:rPr>
          <w:rFonts w:ascii="Times New Roman" w:hAnsi="Times New Roman"/>
        </w:rPr>
        <w:t>Table 3. Interdisciplinary Unit</w:t>
      </w:r>
    </w:p>
    <w:tbl>
      <w:tblPr>
        <w:tblStyle w:val="TableGrid"/>
        <w:tblW w:w="0" w:type="auto"/>
        <w:tblInd w:w="2160" w:type="dxa"/>
        <w:tblLook w:val="04A0" w:firstRow="1" w:lastRow="0" w:firstColumn="1" w:lastColumn="0" w:noHBand="0" w:noVBand="1"/>
      </w:tblPr>
      <w:tblGrid>
        <w:gridCol w:w="2695"/>
        <w:gridCol w:w="1530"/>
        <w:gridCol w:w="1620"/>
        <w:gridCol w:w="1345"/>
      </w:tblGrid>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Indicators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2015-2016</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2016-2017</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2017-2018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Scan/Cluster</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Standards Aligned</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3.7</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Umbrella</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3.6</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Construction of Web</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Big Understandings</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3.6</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Big Questions</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3.5</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3.7</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Big Assessment Task</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Task Specific Rubric</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3.8</w:t>
            </w:r>
          </w:p>
        </w:tc>
      </w:tr>
      <w:tr w:rsidR="00E1385C" w:rsidTr="005261DB">
        <w:tc>
          <w:tcPr>
            <w:tcW w:w="2695" w:type="dxa"/>
          </w:tcPr>
          <w:p w:rsidR="00E1385C" w:rsidRDefault="00E1385C" w:rsidP="00E1385C">
            <w:pPr>
              <w:pStyle w:val="ListParagraph"/>
              <w:ind w:left="0"/>
              <w:rPr>
                <w:rFonts w:ascii="Times New Roman" w:hAnsi="Times New Roman"/>
              </w:rPr>
            </w:pPr>
            <w:r>
              <w:rPr>
                <w:rFonts w:ascii="Times New Roman" w:hAnsi="Times New Roman"/>
              </w:rPr>
              <w:t>Unit Relevance</w:t>
            </w:r>
          </w:p>
        </w:tc>
        <w:tc>
          <w:tcPr>
            <w:tcW w:w="153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620"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c>
          <w:tcPr>
            <w:tcW w:w="1345" w:type="dxa"/>
          </w:tcPr>
          <w:p w:rsidR="00E1385C" w:rsidRDefault="00E1385C" w:rsidP="00E1385C">
            <w:pPr>
              <w:pStyle w:val="ListParagraph"/>
              <w:ind w:left="0"/>
              <w:jc w:val="center"/>
              <w:rPr>
                <w:rFonts w:ascii="Times New Roman" w:hAnsi="Times New Roman"/>
              </w:rPr>
            </w:pPr>
            <w:r>
              <w:rPr>
                <w:rFonts w:ascii="Times New Roman" w:hAnsi="Times New Roman"/>
              </w:rPr>
              <w:t>3.9</w:t>
            </w:r>
          </w:p>
        </w:tc>
      </w:tr>
    </w:tbl>
    <w:p w:rsidR="00D6114F" w:rsidRPr="00400EAC" w:rsidRDefault="00D6114F" w:rsidP="00D6114F">
      <w:pPr>
        <w:pStyle w:val="ListParagraph"/>
        <w:numPr>
          <w:ilvl w:val="1"/>
          <w:numId w:val="1"/>
        </w:numPr>
        <w:rPr>
          <w:rFonts w:ascii="Times New Roman" w:hAnsi="Times New Roman"/>
        </w:rPr>
      </w:pPr>
      <w:r w:rsidRPr="009D3446">
        <w:rPr>
          <w:rFonts w:ascii="Times New Roman" w:hAnsi="Times New Roman"/>
          <w:b/>
        </w:rPr>
        <w:t>Instructional Unit with Technology</w:t>
      </w:r>
      <w:r w:rsidR="00E1385C">
        <w:rPr>
          <w:rFonts w:ascii="Times New Roman" w:hAnsi="Times New Roman"/>
          <w:b/>
        </w:rPr>
        <w:t xml:space="preserve"> (EDU 625)</w:t>
      </w:r>
      <w:r w:rsidRPr="009D3446">
        <w:rPr>
          <w:rFonts w:ascii="Times New Roman" w:hAnsi="Times New Roman"/>
          <w:b/>
        </w:rPr>
        <w:t>:</w:t>
      </w:r>
      <w:r w:rsidRPr="00400EAC">
        <w:rPr>
          <w:rFonts w:ascii="Times New Roman" w:hAnsi="Times New Roman"/>
        </w:rPr>
        <w:t xml:space="preserve">  Students demonstrate technology competencies in the design of an instructional unit earning</w:t>
      </w:r>
      <w:r>
        <w:rPr>
          <w:rFonts w:ascii="Times New Roman" w:hAnsi="Times New Roman"/>
        </w:rPr>
        <w:t xml:space="preserve"> 85%</w:t>
      </w:r>
      <w:r w:rsidRPr="00400EAC">
        <w:rPr>
          <w:rFonts w:ascii="Times New Roman" w:hAnsi="Times New Roman"/>
        </w:rPr>
        <w:t xml:space="preserve"> or higher </w:t>
      </w:r>
      <w:r>
        <w:rPr>
          <w:rFonts w:ascii="Times New Roman" w:hAnsi="Times New Roman"/>
        </w:rPr>
        <w:t>on the Target rubric</w:t>
      </w:r>
      <w:r w:rsidRPr="00400EAC">
        <w:rPr>
          <w:rFonts w:ascii="Times New Roman" w:hAnsi="Times New Roman"/>
        </w:rPr>
        <w:t xml:space="preserve">. </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Synthesis of Knowledge with the Content of the Unit</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Organization of the Content and Instructional Components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 xml:space="preserve">Demonstrating the Skill to Teach Across the Curriculum </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Aligning all Instructional Strategies and Activities to Standards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Demonstrating the Ability to Design Language Arts Strategies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lastRenderedPageBreak/>
        <w:t>Aligning all Instructional Strategies to Multiple Intelligences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Demonstrating the Ability to Design Depth in the Procedures</w:t>
      </w:r>
    </w:p>
    <w:p w:rsidR="00D6114F" w:rsidRDefault="00D6114F" w:rsidP="00D6114F">
      <w:pPr>
        <w:pStyle w:val="ListParagraph"/>
        <w:numPr>
          <w:ilvl w:val="2"/>
          <w:numId w:val="1"/>
        </w:numPr>
        <w:rPr>
          <w:rFonts w:ascii="Times New Roman" w:hAnsi="Times New Roman"/>
        </w:rPr>
      </w:pPr>
      <w:r w:rsidRPr="00400EAC">
        <w:rPr>
          <w:rFonts w:ascii="Times New Roman" w:hAnsi="Times New Roman"/>
        </w:rPr>
        <w:t>Demonstrating the Ability to Integrate Technology.</w:t>
      </w:r>
    </w:p>
    <w:p w:rsidR="00D6114F" w:rsidRPr="00422D33" w:rsidRDefault="00D6114F" w:rsidP="00D6114F">
      <w:pPr>
        <w:pStyle w:val="ListParagraph"/>
        <w:ind w:left="2160"/>
        <w:rPr>
          <w:rFonts w:ascii="Times New Roman" w:hAnsi="Times New Roman"/>
        </w:rPr>
      </w:pPr>
      <w:r w:rsidRPr="00422D33">
        <w:rPr>
          <w:rFonts w:ascii="Times New Roman" w:hAnsi="Times New Roman"/>
        </w:rPr>
        <w:t>Table 4. I</w:t>
      </w:r>
      <w:r>
        <w:rPr>
          <w:rFonts w:ascii="Times New Roman" w:hAnsi="Times New Roman"/>
        </w:rPr>
        <w:t>nstructional Unit with Technology</w:t>
      </w:r>
    </w:p>
    <w:tbl>
      <w:tblPr>
        <w:tblStyle w:val="TableGrid"/>
        <w:tblW w:w="0" w:type="auto"/>
        <w:tblInd w:w="2160" w:type="dxa"/>
        <w:tblLook w:val="04A0" w:firstRow="1" w:lastRow="0" w:firstColumn="1" w:lastColumn="0" w:noHBand="0" w:noVBand="1"/>
      </w:tblPr>
      <w:tblGrid>
        <w:gridCol w:w="2695"/>
        <w:gridCol w:w="1530"/>
        <w:gridCol w:w="1620"/>
        <w:gridCol w:w="1345"/>
      </w:tblGrid>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Indicators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2015-2016</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2016-2017</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2017-2018</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Synthesis of Knowledge</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82</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90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88</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Organization</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86</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90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77</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Across the Curriculum</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86</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94</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Aligning Standards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84</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90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Language Arts Skills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88</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96</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Multiple Intelligences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84</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90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Design Depth in Procedures</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86</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74</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88</w:t>
            </w:r>
          </w:p>
        </w:tc>
      </w:tr>
      <w:tr w:rsidR="00D6114F" w:rsidTr="005261DB">
        <w:tc>
          <w:tcPr>
            <w:tcW w:w="2695" w:type="dxa"/>
          </w:tcPr>
          <w:p w:rsidR="00D6114F" w:rsidRDefault="00D6114F" w:rsidP="005261DB">
            <w:pPr>
              <w:pStyle w:val="ListParagraph"/>
              <w:ind w:left="0"/>
              <w:rPr>
                <w:rFonts w:ascii="Times New Roman" w:hAnsi="Times New Roman"/>
              </w:rPr>
            </w:pPr>
            <w:r>
              <w:rPr>
                <w:rFonts w:ascii="Times New Roman" w:hAnsi="Times New Roman"/>
              </w:rPr>
              <w:t>Integrate Technology</w:t>
            </w:r>
          </w:p>
        </w:tc>
        <w:tc>
          <w:tcPr>
            <w:tcW w:w="1530" w:type="dxa"/>
          </w:tcPr>
          <w:p w:rsidR="00D6114F" w:rsidRDefault="00D6114F" w:rsidP="005261DB">
            <w:pPr>
              <w:pStyle w:val="ListParagraph"/>
              <w:ind w:left="0"/>
              <w:jc w:val="center"/>
              <w:rPr>
                <w:rFonts w:ascii="Times New Roman" w:hAnsi="Times New Roman"/>
              </w:rPr>
            </w:pPr>
            <w:r>
              <w:rPr>
                <w:rFonts w:ascii="Times New Roman" w:hAnsi="Times New Roman"/>
              </w:rPr>
              <w:t>86</w:t>
            </w:r>
          </w:p>
        </w:tc>
        <w:tc>
          <w:tcPr>
            <w:tcW w:w="1620" w:type="dxa"/>
          </w:tcPr>
          <w:p w:rsidR="00D6114F" w:rsidRDefault="00D6114F" w:rsidP="005261DB">
            <w:pPr>
              <w:pStyle w:val="ListParagraph"/>
              <w:ind w:left="0"/>
              <w:jc w:val="center"/>
              <w:rPr>
                <w:rFonts w:ascii="Times New Roman" w:hAnsi="Times New Roman"/>
              </w:rPr>
            </w:pPr>
            <w:r>
              <w:rPr>
                <w:rFonts w:ascii="Times New Roman" w:hAnsi="Times New Roman"/>
              </w:rPr>
              <w:t>90</w:t>
            </w:r>
          </w:p>
        </w:tc>
        <w:tc>
          <w:tcPr>
            <w:tcW w:w="1345" w:type="dxa"/>
          </w:tcPr>
          <w:p w:rsidR="00D6114F" w:rsidRDefault="00D6114F" w:rsidP="005261DB">
            <w:pPr>
              <w:pStyle w:val="ListParagraph"/>
              <w:ind w:left="0"/>
              <w:jc w:val="center"/>
              <w:rPr>
                <w:rFonts w:ascii="Times New Roman" w:hAnsi="Times New Roman"/>
              </w:rPr>
            </w:pPr>
            <w:r>
              <w:rPr>
                <w:rFonts w:ascii="Times New Roman" w:hAnsi="Times New Roman"/>
              </w:rPr>
              <w:t>100</w:t>
            </w:r>
          </w:p>
        </w:tc>
      </w:tr>
    </w:tbl>
    <w:p w:rsidR="00D6114F" w:rsidRPr="00400EAC" w:rsidRDefault="00D6114F" w:rsidP="00D6114F">
      <w:pPr>
        <w:pStyle w:val="ListParagraph"/>
        <w:numPr>
          <w:ilvl w:val="1"/>
          <w:numId w:val="1"/>
        </w:numPr>
        <w:rPr>
          <w:rFonts w:ascii="Times New Roman" w:hAnsi="Times New Roman"/>
        </w:rPr>
      </w:pPr>
      <w:r w:rsidRPr="009D3446">
        <w:rPr>
          <w:rFonts w:ascii="Times New Roman" w:hAnsi="Times New Roman"/>
          <w:b/>
        </w:rPr>
        <w:t>Implementation of an Instructional Unit:</w:t>
      </w:r>
      <w:r w:rsidRPr="00400EAC">
        <w:rPr>
          <w:rFonts w:ascii="Times New Roman" w:hAnsi="Times New Roman"/>
        </w:rPr>
        <w:t xml:space="preserve"> Students design, implement, and analyze the impact of a value-added instructional unit</w:t>
      </w:r>
      <w:r>
        <w:rPr>
          <w:rFonts w:ascii="Times New Roman" w:hAnsi="Times New Roman"/>
        </w:rPr>
        <w:t xml:space="preserve"> tested in a classroom and earn 85% or higher on the assignment rubric. </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 xml:space="preserve">Topic and Topical Themes </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Unit Overview</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Generalizations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 xml:space="preserve">Guiding Questions </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Teaching Strategies and Procedures</w:t>
      </w:r>
    </w:p>
    <w:p w:rsidR="00D6114F" w:rsidRPr="00400EAC" w:rsidRDefault="00D6114F" w:rsidP="00D6114F">
      <w:pPr>
        <w:pStyle w:val="ListParagraph"/>
        <w:numPr>
          <w:ilvl w:val="2"/>
          <w:numId w:val="1"/>
        </w:numPr>
        <w:rPr>
          <w:rFonts w:ascii="Times New Roman" w:hAnsi="Times New Roman"/>
        </w:rPr>
      </w:pPr>
      <w:r w:rsidRPr="00400EAC">
        <w:rPr>
          <w:rFonts w:ascii="Times New Roman" w:hAnsi="Times New Roman"/>
        </w:rPr>
        <w:t>Culminating Tasks</w:t>
      </w:r>
    </w:p>
    <w:p w:rsidR="00D6114F" w:rsidRDefault="00D6114F" w:rsidP="00D6114F">
      <w:pPr>
        <w:pStyle w:val="ListParagraph"/>
        <w:ind w:left="2160"/>
        <w:rPr>
          <w:rFonts w:ascii="Times New Roman" w:hAnsi="Times New Roman"/>
        </w:rPr>
      </w:pPr>
      <w:r>
        <w:rPr>
          <w:rFonts w:ascii="Times New Roman" w:hAnsi="Times New Roman"/>
        </w:rPr>
        <w:t>Table 5. Implementation of an Instructional Unit</w:t>
      </w:r>
    </w:p>
    <w:tbl>
      <w:tblPr>
        <w:tblStyle w:val="TableGrid"/>
        <w:tblW w:w="0" w:type="auto"/>
        <w:tblInd w:w="2160" w:type="dxa"/>
        <w:tblLook w:val="04A0" w:firstRow="1" w:lastRow="0" w:firstColumn="1" w:lastColumn="0" w:noHBand="0" w:noVBand="1"/>
      </w:tblPr>
      <w:tblGrid>
        <w:gridCol w:w="2695"/>
        <w:gridCol w:w="1620"/>
        <w:gridCol w:w="1345"/>
      </w:tblGrid>
      <w:tr w:rsidR="00AE42E3" w:rsidTr="005261DB">
        <w:tc>
          <w:tcPr>
            <w:tcW w:w="2695" w:type="dxa"/>
          </w:tcPr>
          <w:p w:rsidR="00AE42E3" w:rsidRDefault="00AE42E3" w:rsidP="005261DB">
            <w:pPr>
              <w:pStyle w:val="ListParagraph"/>
              <w:ind w:left="0"/>
              <w:rPr>
                <w:rFonts w:ascii="Times New Roman" w:hAnsi="Times New Roman"/>
              </w:rPr>
            </w:pPr>
            <w:r>
              <w:rPr>
                <w:rFonts w:ascii="Times New Roman" w:hAnsi="Times New Roman"/>
              </w:rPr>
              <w:t>Indicators</w:t>
            </w:r>
          </w:p>
        </w:tc>
        <w:tc>
          <w:tcPr>
            <w:tcW w:w="1620" w:type="dxa"/>
          </w:tcPr>
          <w:p w:rsidR="00AE42E3" w:rsidRDefault="00AE42E3" w:rsidP="005261DB">
            <w:pPr>
              <w:pStyle w:val="ListParagraph"/>
              <w:ind w:left="0"/>
              <w:jc w:val="center"/>
              <w:rPr>
                <w:rFonts w:ascii="Times New Roman" w:hAnsi="Times New Roman"/>
              </w:rPr>
            </w:pPr>
            <w:r>
              <w:rPr>
                <w:rFonts w:ascii="Times New Roman" w:hAnsi="Times New Roman"/>
              </w:rPr>
              <w:t>2016-2017</w:t>
            </w:r>
          </w:p>
        </w:tc>
        <w:tc>
          <w:tcPr>
            <w:tcW w:w="1345" w:type="dxa"/>
          </w:tcPr>
          <w:p w:rsidR="00AE42E3" w:rsidRDefault="00AE42E3" w:rsidP="005261DB">
            <w:pPr>
              <w:pStyle w:val="ListParagraph"/>
              <w:ind w:left="0"/>
              <w:jc w:val="center"/>
              <w:rPr>
                <w:rFonts w:ascii="Times New Roman" w:hAnsi="Times New Roman"/>
              </w:rPr>
            </w:pPr>
            <w:r>
              <w:rPr>
                <w:rFonts w:ascii="Times New Roman" w:hAnsi="Times New Roman"/>
              </w:rPr>
              <w:t>2017-2018</w:t>
            </w:r>
          </w:p>
        </w:tc>
      </w:tr>
      <w:tr w:rsidR="00AE42E3" w:rsidTr="005261DB">
        <w:tc>
          <w:tcPr>
            <w:tcW w:w="2695" w:type="dxa"/>
          </w:tcPr>
          <w:p w:rsidR="00AE42E3" w:rsidRDefault="00AE42E3" w:rsidP="00AE42E3">
            <w:pPr>
              <w:pStyle w:val="ListParagraph"/>
              <w:ind w:left="0"/>
              <w:rPr>
                <w:rFonts w:ascii="Times New Roman" w:hAnsi="Times New Roman"/>
              </w:rPr>
            </w:pPr>
            <w:r>
              <w:rPr>
                <w:rFonts w:ascii="Times New Roman" w:hAnsi="Times New Roman"/>
              </w:rPr>
              <w:t>Topic and Topical Themes</w:t>
            </w:r>
          </w:p>
        </w:tc>
        <w:tc>
          <w:tcPr>
            <w:tcW w:w="1620" w:type="dxa"/>
          </w:tcPr>
          <w:p w:rsidR="00AE42E3" w:rsidRDefault="00AE42E3" w:rsidP="00AE42E3">
            <w:pPr>
              <w:pStyle w:val="ListParagraph"/>
              <w:ind w:left="0"/>
              <w:jc w:val="center"/>
              <w:rPr>
                <w:rFonts w:ascii="Times New Roman" w:hAnsi="Times New Roman"/>
              </w:rPr>
            </w:pPr>
            <w:r>
              <w:rPr>
                <w:rFonts w:ascii="Times New Roman" w:hAnsi="Times New Roman"/>
              </w:rPr>
              <w:t>98</w:t>
            </w:r>
          </w:p>
        </w:tc>
        <w:tc>
          <w:tcPr>
            <w:tcW w:w="1345" w:type="dxa"/>
          </w:tcPr>
          <w:p w:rsidR="00AE42E3" w:rsidRDefault="00AE42E3" w:rsidP="00AE42E3">
            <w:pPr>
              <w:pStyle w:val="ListParagraph"/>
              <w:ind w:left="0"/>
              <w:jc w:val="center"/>
              <w:rPr>
                <w:rFonts w:ascii="Times New Roman" w:hAnsi="Times New Roman"/>
              </w:rPr>
            </w:pPr>
            <w:r>
              <w:rPr>
                <w:rFonts w:ascii="Times New Roman" w:hAnsi="Times New Roman"/>
              </w:rPr>
              <w:t>87</w:t>
            </w:r>
          </w:p>
        </w:tc>
      </w:tr>
      <w:tr w:rsidR="00AE42E3" w:rsidTr="005261DB">
        <w:tc>
          <w:tcPr>
            <w:tcW w:w="2695" w:type="dxa"/>
          </w:tcPr>
          <w:p w:rsidR="00AE42E3" w:rsidRDefault="00AE42E3" w:rsidP="00AE42E3">
            <w:pPr>
              <w:pStyle w:val="ListParagraph"/>
              <w:ind w:left="0"/>
              <w:rPr>
                <w:rFonts w:ascii="Times New Roman" w:hAnsi="Times New Roman"/>
              </w:rPr>
            </w:pPr>
            <w:r>
              <w:rPr>
                <w:rFonts w:ascii="Times New Roman" w:hAnsi="Times New Roman"/>
              </w:rPr>
              <w:t xml:space="preserve">Unit Overview </w:t>
            </w:r>
          </w:p>
        </w:tc>
        <w:tc>
          <w:tcPr>
            <w:tcW w:w="1620" w:type="dxa"/>
          </w:tcPr>
          <w:p w:rsidR="00AE42E3" w:rsidRDefault="00AE42E3" w:rsidP="00AE42E3">
            <w:pPr>
              <w:pStyle w:val="ListParagraph"/>
              <w:ind w:left="0"/>
              <w:jc w:val="center"/>
              <w:rPr>
                <w:rFonts w:ascii="Times New Roman" w:hAnsi="Times New Roman"/>
              </w:rPr>
            </w:pPr>
            <w:r>
              <w:rPr>
                <w:rFonts w:ascii="Times New Roman" w:hAnsi="Times New Roman"/>
              </w:rPr>
              <w:t>99</w:t>
            </w:r>
          </w:p>
        </w:tc>
        <w:tc>
          <w:tcPr>
            <w:tcW w:w="1345" w:type="dxa"/>
          </w:tcPr>
          <w:p w:rsidR="00AE42E3" w:rsidRDefault="00AE42E3" w:rsidP="00AE42E3">
            <w:pPr>
              <w:pStyle w:val="ListParagraph"/>
              <w:ind w:left="0"/>
              <w:jc w:val="center"/>
              <w:rPr>
                <w:rFonts w:ascii="Times New Roman" w:hAnsi="Times New Roman"/>
              </w:rPr>
            </w:pPr>
            <w:r>
              <w:rPr>
                <w:rFonts w:ascii="Times New Roman" w:hAnsi="Times New Roman"/>
              </w:rPr>
              <w:t>81</w:t>
            </w:r>
          </w:p>
        </w:tc>
      </w:tr>
      <w:tr w:rsidR="00AE42E3" w:rsidTr="005261DB">
        <w:tc>
          <w:tcPr>
            <w:tcW w:w="2695" w:type="dxa"/>
          </w:tcPr>
          <w:p w:rsidR="00AE42E3" w:rsidRDefault="00AE42E3" w:rsidP="00AE42E3">
            <w:pPr>
              <w:pStyle w:val="ListParagraph"/>
              <w:ind w:left="0"/>
              <w:rPr>
                <w:rFonts w:ascii="Times New Roman" w:hAnsi="Times New Roman"/>
              </w:rPr>
            </w:pPr>
            <w:r>
              <w:rPr>
                <w:rFonts w:ascii="Times New Roman" w:hAnsi="Times New Roman"/>
              </w:rPr>
              <w:t>Generalizations</w:t>
            </w:r>
          </w:p>
        </w:tc>
        <w:tc>
          <w:tcPr>
            <w:tcW w:w="1620" w:type="dxa"/>
          </w:tcPr>
          <w:p w:rsidR="00AE42E3" w:rsidRDefault="00AE42E3" w:rsidP="00AE42E3">
            <w:pPr>
              <w:pStyle w:val="ListParagraph"/>
              <w:ind w:left="0"/>
              <w:jc w:val="center"/>
              <w:rPr>
                <w:rFonts w:ascii="Times New Roman" w:hAnsi="Times New Roman"/>
              </w:rPr>
            </w:pPr>
            <w:r>
              <w:rPr>
                <w:rFonts w:ascii="Times New Roman" w:hAnsi="Times New Roman"/>
              </w:rPr>
              <w:t>99</w:t>
            </w:r>
          </w:p>
        </w:tc>
        <w:tc>
          <w:tcPr>
            <w:tcW w:w="1345" w:type="dxa"/>
          </w:tcPr>
          <w:p w:rsidR="00AE42E3" w:rsidRDefault="00AE42E3" w:rsidP="00AE42E3">
            <w:pPr>
              <w:pStyle w:val="ListParagraph"/>
              <w:ind w:left="0"/>
              <w:jc w:val="center"/>
              <w:rPr>
                <w:rFonts w:ascii="Times New Roman" w:hAnsi="Times New Roman"/>
              </w:rPr>
            </w:pPr>
            <w:r>
              <w:rPr>
                <w:rFonts w:ascii="Times New Roman" w:hAnsi="Times New Roman"/>
              </w:rPr>
              <w:t>80</w:t>
            </w:r>
          </w:p>
        </w:tc>
      </w:tr>
      <w:tr w:rsidR="00AE42E3" w:rsidTr="005261DB">
        <w:tc>
          <w:tcPr>
            <w:tcW w:w="2695" w:type="dxa"/>
          </w:tcPr>
          <w:p w:rsidR="00AE42E3" w:rsidRDefault="00AE42E3" w:rsidP="00AE42E3">
            <w:pPr>
              <w:pStyle w:val="ListParagraph"/>
              <w:ind w:left="0"/>
              <w:rPr>
                <w:rFonts w:ascii="Times New Roman" w:hAnsi="Times New Roman"/>
              </w:rPr>
            </w:pPr>
            <w:r>
              <w:rPr>
                <w:rFonts w:ascii="Times New Roman" w:hAnsi="Times New Roman"/>
              </w:rPr>
              <w:t xml:space="preserve">Guiding Questions </w:t>
            </w:r>
          </w:p>
        </w:tc>
        <w:tc>
          <w:tcPr>
            <w:tcW w:w="1620" w:type="dxa"/>
          </w:tcPr>
          <w:p w:rsidR="00AE42E3" w:rsidRDefault="00AE42E3" w:rsidP="00AE42E3">
            <w:pPr>
              <w:pStyle w:val="ListParagraph"/>
              <w:ind w:left="0"/>
              <w:jc w:val="center"/>
              <w:rPr>
                <w:rFonts w:ascii="Times New Roman" w:hAnsi="Times New Roman"/>
              </w:rPr>
            </w:pPr>
            <w:r>
              <w:rPr>
                <w:rFonts w:ascii="Times New Roman" w:hAnsi="Times New Roman"/>
              </w:rPr>
              <w:t>99</w:t>
            </w:r>
          </w:p>
        </w:tc>
        <w:tc>
          <w:tcPr>
            <w:tcW w:w="1345" w:type="dxa"/>
          </w:tcPr>
          <w:p w:rsidR="00AE42E3" w:rsidRDefault="00AE42E3" w:rsidP="00AE42E3">
            <w:pPr>
              <w:pStyle w:val="ListParagraph"/>
              <w:ind w:left="0"/>
              <w:jc w:val="center"/>
              <w:rPr>
                <w:rFonts w:ascii="Times New Roman" w:hAnsi="Times New Roman"/>
              </w:rPr>
            </w:pPr>
            <w:r>
              <w:rPr>
                <w:rFonts w:ascii="Times New Roman" w:hAnsi="Times New Roman"/>
              </w:rPr>
              <w:t>87</w:t>
            </w:r>
          </w:p>
        </w:tc>
      </w:tr>
      <w:tr w:rsidR="00AE42E3" w:rsidTr="005261DB">
        <w:tc>
          <w:tcPr>
            <w:tcW w:w="2695" w:type="dxa"/>
          </w:tcPr>
          <w:p w:rsidR="00AE42E3" w:rsidRDefault="00AE42E3" w:rsidP="00AE42E3">
            <w:pPr>
              <w:pStyle w:val="ListParagraph"/>
              <w:ind w:left="0"/>
              <w:rPr>
                <w:rFonts w:ascii="Times New Roman" w:hAnsi="Times New Roman"/>
              </w:rPr>
            </w:pPr>
            <w:r>
              <w:rPr>
                <w:rFonts w:ascii="Times New Roman" w:hAnsi="Times New Roman"/>
              </w:rPr>
              <w:t>Strategies and Procedures</w:t>
            </w:r>
          </w:p>
        </w:tc>
        <w:tc>
          <w:tcPr>
            <w:tcW w:w="1620" w:type="dxa"/>
          </w:tcPr>
          <w:p w:rsidR="00AE42E3" w:rsidRDefault="00AE42E3" w:rsidP="00AE42E3">
            <w:pPr>
              <w:pStyle w:val="ListParagraph"/>
              <w:ind w:left="0"/>
              <w:jc w:val="center"/>
              <w:rPr>
                <w:rFonts w:ascii="Times New Roman" w:hAnsi="Times New Roman"/>
              </w:rPr>
            </w:pPr>
            <w:r>
              <w:rPr>
                <w:rFonts w:ascii="Times New Roman" w:hAnsi="Times New Roman"/>
              </w:rPr>
              <w:t>98</w:t>
            </w:r>
          </w:p>
        </w:tc>
        <w:tc>
          <w:tcPr>
            <w:tcW w:w="1345" w:type="dxa"/>
          </w:tcPr>
          <w:p w:rsidR="00AE42E3" w:rsidRDefault="00AE42E3" w:rsidP="00AE42E3">
            <w:pPr>
              <w:pStyle w:val="ListParagraph"/>
              <w:ind w:left="0"/>
              <w:jc w:val="center"/>
              <w:rPr>
                <w:rFonts w:ascii="Times New Roman" w:hAnsi="Times New Roman"/>
              </w:rPr>
            </w:pPr>
            <w:r>
              <w:rPr>
                <w:rFonts w:ascii="Times New Roman" w:hAnsi="Times New Roman"/>
              </w:rPr>
              <w:t>87</w:t>
            </w:r>
          </w:p>
        </w:tc>
      </w:tr>
      <w:tr w:rsidR="00AE42E3" w:rsidTr="005261DB">
        <w:tc>
          <w:tcPr>
            <w:tcW w:w="2695" w:type="dxa"/>
          </w:tcPr>
          <w:p w:rsidR="00AE42E3" w:rsidRDefault="00AE42E3" w:rsidP="00AE42E3">
            <w:pPr>
              <w:pStyle w:val="ListParagraph"/>
              <w:ind w:left="0"/>
              <w:rPr>
                <w:rFonts w:ascii="Times New Roman" w:hAnsi="Times New Roman"/>
              </w:rPr>
            </w:pPr>
            <w:r>
              <w:rPr>
                <w:rFonts w:ascii="Times New Roman" w:hAnsi="Times New Roman"/>
              </w:rPr>
              <w:t>Culminating Tasks</w:t>
            </w:r>
          </w:p>
        </w:tc>
        <w:tc>
          <w:tcPr>
            <w:tcW w:w="1620" w:type="dxa"/>
          </w:tcPr>
          <w:p w:rsidR="00AE42E3" w:rsidRDefault="00AE42E3" w:rsidP="00AE42E3">
            <w:pPr>
              <w:pStyle w:val="ListParagraph"/>
              <w:ind w:left="0"/>
              <w:jc w:val="center"/>
              <w:rPr>
                <w:rFonts w:ascii="Times New Roman" w:hAnsi="Times New Roman"/>
              </w:rPr>
            </w:pPr>
            <w:r>
              <w:rPr>
                <w:rFonts w:ascii="Times New Roman" w:hAnsi="Times New Roman"/>
              </w:rPr>
              <w:t>99</w:t>
            </w:r>
          </w:p>
        </w:tc>
        <w:tc>
          <w:tcPr>
            <w:tcW w:w="1345" w:type="dxa"/>
          </w:tcPr>
          <w:p w:rsidR="00AE42E3" w:rsidRDefault="00AE42E3" w:rsidP="00AE42E3">
            <w:pPr>
              <w:pStyle w:val="ListParagraph"/>
              <w:ind w:left="0"/>
              <w:jc w:val="center"/>
              <w:rPr>
                <w:rFonts w:ascii="Times New Roman" w:hAnsi="Times New Roman"/>
              </w:rPr>
            </w:pPr>
            <w:r>
              <w:rPr>
                <w:rFonts w:ascii="Times New Roman" w:hAnsi="Times New Roman"/>
              </w:rPr>
              <w:t>87</w:t>
            </w:r>
          </w:p>
        </w:tc>
      </w:tr>
    </w:tbl>
    <w:p w:rsidR="00D6114F" w:rsidRDefault="00D6114F" w:rsidP="00D6114F">
      <w:pPr>
        <w:pStyle w:val="ListParagraph"/>
        <w:numPr>
          <w:ilvl w:val="1"/>
          <w:numId w:val="1"/>
        </w:numPr>
        <w:rPr>
          <w:rFonts w:ascii="Times New Roman" w:hAnsi="Times New Roman"/>
        </w:rPr>
      </w:pPr>
      <w:r>
        <w:rPr>
          <w:rFonts w:ascii="Times New Roman" w:hAnsi="Times New Roman"/>
          <w:b/>
        </w:rPr>
        <w:t xml:space="preserve">Assessing Student Learning: </w:t>
      </w:r>
      <w:r>
        <w:rPr>
          <w:rFonts w:ascii="Times New Roman" w:hAnsi="Times New Roman"/>
        </w:rPr>
        <w:t xml:space="preserve">Students will assess their students’ learning through analysis of informal and formal performance indicators, feedback, monitoring and guiding students.  The students will have a group mean of 3.0 or higher on a four point Likert scale. </w:t>
      </w:r>
      <w:r w:rsidR="0036151E">
        <w:rPr>
          <w:rFonts w:ascii="Times New Roman" w:hAnsi="Times New Roman"/>
        </w:rPr>
        <w:t xml:space="preserve"> Key Assessment started in 2016-2017. </w:t>
      </w:r>
    </w:p>
    <w:p w:rsidR="00D6114F" w:rsidRDefault="00D6114F" w:rsidP="00D6114F">
      <w:pPr>
        <w:pStyle w:val="ListParagraph"/>
        <w:numPr>
          <w:ilvl w:val="2"/>
          <w:numId w:val="1"/>
        </w:numPr>
        <w:rPr>
          <w:rFonts w:ascii="Times New Roman" w:hAnsi="Times New Roman"/>
        </w:rPr>
      </w:pPr>
      <w:r>
        <w:rPr>
          <w:rFonts w:ascii="Times New Roman" w:hAnsi="Times New Roman"/>
        </w:rPr>
        <w:t>Analyzing Student Work ACEI 4.0</w:t>
      </w:r>
    </w:p>
    <w:p w:rsidR="00D6114F" w:rsidRDefault="00D6114F" w:rsidP="00D6114F">
      <w:pPr>
        <w:pStyle w:val="ListParagraph"/>
        <w:numPr>
          <w:ilvl w:val="2"/>
          <w:numId w:val="1"/>
        </w:numPr>
        <w:rPr>
          <w:rFonts w:ascii="Times New Roman" w:hAnsi="Times New Roman"/>
        </w:rPr>
      </w:pPr>
      <w:r>
        <w:rPr>
          <w:rFonts w:ascii="Times New Roman" w:hAnsi="Times New Roman"/>
        </w:rPr>
        <w:t>Using Assessment to Inform Instruction ACEI 3.1</w:t>
      </w:r>
    </w:p>
    <w:p w:rsidR="00D6114F" w:rsidRDefault="00D6114F" w:rsidP="00D6114F">
      <w:pPr>
        <w:pStyle w:val="ListParagraph"/>
        <w:numPr>
          <w:ilvl w:val="2"/>
          <w:numId w:val="1"/>
        </w:numPr>
        <w:rPr>
          <w:rFonts w:ascii="Times New Roman" w:hAnsi="Times New Roman"/>
        </w:rPr>
      </w:pPr>
      <w:r>
        <w:rPr>
          <w:rFonts w:ascii="Times New Roman" w:hAnsi="Times New Roman"/>
        </w:rPr>
        <w:t>Using Feedback to Guide Further Learning ACEI 4.0</w:t>
      </w:r>
    </w:p>
    <w:p w:rsidR="00D6114F" w:rsidRDefault="00D6114F" w:rsidP="00D6114F">
      <w:pPr>
        <w:pStyle w:val="ListParagraph"/>
        <w:numPr>
          <w:ilvl w:val="2"/>
          <w:numId w:val="1"/>
        </w:numPr>
        <w:rPr>
          <w:rFonts w:ascii="Times New Roman" w:hAnsi="Times New Roman"/>
        </w:rPr>
      </w:pPr>
      <w:r>
        <w:rPr>
          <w:rFonts w:ascii="Times New Roman" w:hAnsi="Times New Roman"/>
        </w:rPr>
        <w:t>Monitoring Student Progress and Adjusting Instruction ACEI 4.0</w:t>
      </w:r>
    </w:p>
    <w:p w:rsidR="00D6114F" w:rsidRDefault="00D6114F" w:rsidP="00D6114F">
      <w:pPr>
        <w:pStyle w:val="ListParagraph"/>
        <w:numPr>
          <w:ilvl w:val="2"/>
          <w:numId w:val="1"/>
        </w:numPr>
        <w:rPr>
          <w:rFonts w:ascii="Times New Roman" w:hAnsi="Times New Roman"/>
        </w:rPr>
      </w:pPr>
      <w:r>
        <w:rPr>
          <w:rFonts w:ascii="Times New Roman" w:hAnsi="Times New Roman"/>
        </w:rPr>
        <w:t>Understanding Language Demands and Resources</w:t>
      </w:r>
    </w:p>
    <w:p w:rsidR="00D6114F" w:rsidRDefault="00D6114F" w:rsidP="00D6114F">
      <w:pPr>
        <w:pStyle w:val="ListParagraph"/>
        <w:ind w:left="1440" w:firstLine="720"/>
        <w:rPr>
          <w:rFonts w:ascii="Times New Roman" w:hAnsi="Times New Roman"/>
        </w:rPr>
      </w:pPr>
      <w:r>
        <w:rPr>
          <w:rFonts w:ascii="Times New Roman" w:hAnsi="Times New Roman"/>
        </w:rPr>
        <w:t>Table 6. Assessing Student Learning</w:t>
      </w:r>
    </w:p>
    <w:tbl>
      <w:tblPr>
        <w:tblStyle w:val="TableGrid"/>
        <w:tblW w:w="0" w:type="auto"/>
        <w:tblInd w:w="2160" w:type="dxa"/>
        <w:tblLook w:val="04A0" w:firstRow="1" w:lastRow="0" w:firstColumn="1" w:lastColumn="0" w:noHBand="0" w:noVBand="1"/>
      </w:tblPr>
      <w:tblGrid>
        <w:gridCol w:w="2695"/>
        <w:gridCol w:w="1530"/>
        <w:gridCol w:w="1620"/>
      </w:tblGrid>
      <w:tr w:rsidR="00AE42E3" w:rsidTr="005261DB">
        <w:tc>
          <w:tcPr>
            <w:tcW w:w="2695" w:type="dxa"/>
          </w:tcPr>
          <w:p w:rsidR="00AE42E3" w:rsidRDefault="00AE42E3" w:rsidP="005261DB">
            <w:pPr>
              <w:pStyle w:val="ListParagraph"/>
              <w:ind w:left="0"/>
              <w:rPr>
                <w:rFonts w:ascii="Times New Roman" w:hAnsi="Times New Roman"/>
              </w:rPr>
            </w:pPr>
            <w:r>
              <w:rPr>
                <w:rFonts w:ascii="Times New Roman" w:hAnsi="Times New Roman"/>
              </w:rPr>
              <w:t>Indicators</w:t>
            </w:r>
          </w:p>
        </w:tc>
        <w:tc>
          <w:tcPr>
            <w:tcW w:w="1530" w:type="dxa"/>
          </w:tcPr>
          <w:p w:rsidR="00AE42E3" w:rsidRDefault="00AE42E3" w:rsidP="005261DB">
            <w:pPr>
              <w:pStyle w:val="ListParagraph"/>
              <w:ind w:left="0"/>
              <w:jc w:val="center"/>
              <w:rPr>
                <w:rFonts w:ascii="Times New Roman" w:hAnsi="Times New Roman"/>
              </w:rPr>
            </w:pPr>
            <w:r>
              <w:rPr>
                <w:rFonts w:ascii="Times New Roman" w:hAnsi="Times New Roman"/>
              </w:rPr>
              <w:t>2016-2017</w:t>
            </w:r>
          </w:p>
        </w:tc>
        <w:tc>
          <w:tcPr>
            <w:tcW w:w="1620" w:type="dxa"/>
          </w:tcPr>
          <w:p w:rsidR="00AE42E3" w:rsidRDefault="00AE42E3" w:rsidP="005261DB">
            <w:pPr>
              <w:pStyle w:val="ListParagraph"/>
              <w:ind w:left="0"/>
              <w:jc w:val="center"/>
              <w:rPr>
                <w:rFonts w:ascii="Times New Roman" w:hAnsi="Times New Roman"/>
              </w:rPr>
            </w:pPr>
            <w:r>
              <w:rPr>
                <w:rFonts w:ascii="Times New Roman" w:hAnsi="Times New Roman"/>
              </w:rPr>
              <w:t>2017-2018</w:t>
            </w:r>
          </w:p>
        </w:tc>
      </w:tr>
      <w:tr w:rsidR="00AE42E3" w:rsidTr="005261DB">
        <w:tc>
          <w:tcPr>
            <w:tcW w:w="2695" w:type="dxa"/>
          </w:tcPr>
          <w:p w:rsidR="00AE42E3" w:rsidRDefault="00AE42E3" w:rsidP="005261DB">
            <w:pPr>
              <w:pStyle w:val="ListParagraph"/>
              <w:ind w:left="0"/>
              <w:rPr>
                <w:rFonts w:ascii="Times New Roman" w:hAnsi="Times New Roman"/>
              </w:rPr>
            </w:pPr>
            <w:r>
              <w:rPr>
                <w:rFonts w:ascii="Times New Roman" w:hAnsi="Times New Roman"/>
              </w:rPr>
              <w:t>Analysis</w:t>
            </w:r>
          </w:p>
        </w:tc>
        <w:tc>
          <w:tcPr>
            <w:tcW w:w="153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c>
          <w:tcPr>
            <w:tcW w:w="162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r>
      <w:tr w:rsidR="00AE42E3" w:rsidTr="005261DB">
        <w:tc>
          <w:tcPr>
            <w:tcW w:w="2695" w:type="dxa"/>
          </w:tcPr>
          <w:p w:rsidR="00AE42E3" w:rsidRDefault="00AE42E3" w:rsidP="005261DB">
            <w:pPr>
              <w:pStyle w:val="ListParagraph"/>
              <w:ind w:left="0"/>
              <w:rPr>
                <w:rFonts w:ascii="Times New Roman" w:hAnsi="Times New Roman"/>
              </w:rPr>
            </w:pPr>
            <w:r>
              <w:rPr>
                <w:rFonts w:ascii="Times New Roman" w:hAnsi="Times New Roman"/>
              </w:rPr>
              <w:t>Informing Instruction</w:t>
            </w:r>
          </w:p>
        </w:tc>
        <w:tc>
          <w:tcPr>
            <w:tcW w:w="153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c>
          <w:tcPr>
            <w:tcW w:w="162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r>
      <w:tr w:rsidR="00AE42E3" w:rsidTr="005261DB">
        <w:tc>
          <w:tcPr>
            <w:tcW w:w="2695" w:type="dxa"/>
          </w:tcPr>
          <w:p w:rsidR="00AE42E3" w:rsidRDefault="00AE42E3" w:rsidP="005261DB">
            <w:pPr>
              <w:pStyle w:val="ListParagraph"/>
              <w:ind w:left="0"/>
              <w:rPr>
                <w:rFonts w:ascii="Times New Roman" w:hAnsi="Times New Roman"/>
              </w:rPr>
            </w:pPr>
            <w:r>
              <w:rPr>
                <w:rFonts w:ascii="Times New Roman" w:hAnsi="Times New Roman"/>
              </w:rPr>
              <w:t>Feedback</w:t>
            </w:r>
          </w:p>
        </w:tc>
        <w:tc>
          <w:tcPr>
            <w:tcW w:w="153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c>
          <w:tcPr>
            <w:tcW w:w="162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r>
      <w:tr w:rsidR="00AE42E3" w:rsidTr="005261DB">
        <w:tc>
          <w:tcPr>
            <w:tcW w:w="2695" w:type="dxa"/>
          </w:tcPr>
          <w:p w:rsidR="00AE42E3" w:rsidRDefault="00AE42E3" w:rsidP="005261DB">
            <w:pPr>
              <w:pStyle w:val="ListParagraph"/>
              <w:ind w:left="0"/>
              <w:rPr>
                <w:rFonts w:ascii="Times New Roman" w:hAnsi="Times New Roman"/>
              </w:rPr>
            </w:pPr>
            <w:r>
              <w:rPr>
                <w:rFonts w:ascii="Times New Roman" w:hAnsi="Times New Roman"/>
              </w:rPr>
              <w:t>Monitoring</w:t>
            </w:r>
          </w:p>
        </w:tc>
        <w:tc>
          <w:tcPr>
            <w:tcW w:w="153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c>
          <w:tcPr>
            <w:tcW w:w="162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r>
      <w:tr w:rsidR="00AE42E3" w:rsidTr="005261DB">
        <w:tc>
          <w:tcPr>
            <w:tcW w:w="2695" w:type="dxa"/>
          </w:tcPr>
          <w:p w:rsidR="00AE42E3" w:rsidRDefault="00AE42E3" w:rsidP="005261DB">
            <w:pPr>
              <w:pStyle w:val="ListParagraph"/>
              <w:ind w:left="0"/>
              <w:rPr>
                <w:rFonts w:ascii="Times New Roman" w:hAnsi="Times New Roman"/>
              </w:rPr>
            </w:pPr>
            <w:r>
              <w:rPr>
                <w:rFonts w:ascii="Times New Roman" w:hAnsi="Times New Roman"/>
              </w:rPr>
              <w:t>Understanding Language</w:t>
            </w:r>
          </w:p>
        </w:tc>
        <w:tc>
          <w:tcPr>
            <w:tcW w:w="153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c>
          <w:tcPr>
            <w:tcW w:w="1620" w:type="dxa"/>
          </w:tcPr>
          <w:p w:rsidR="00AE42E3" w:rsidRDefault="00AE42E3" w:rsidP="005261DB">
            <w:pPr>
              <w:pStyle w:val="ListParagraph"/>
              <w:ind w:left="0"/>
              <w:jc w:val="center"/>
              <w:rPr>
                <w:rFonts w:ascii="Times New Roman" w:hAnsi="Times New Roman"/>
              </w:rPr>
            </w:pPr>
            <w:r>
              <w:rPr>
                <w:rFonts w:ascii="Times New Roman" w:hAnsi="Times New Roman"/>
              </w:rPr>
              <w:t>4.0</w:t>
            </w:r>
          </w:p>
        </w:tc>
      </w:tr>
    </w:tbl>
    <w:p w:rsidR="00D6114F" w:rsidRPr="00553007" w:rsidRDefault="00D6114F" w:rsidP="00D6114F">
      <w:pPr>
        <w:pStyle w:val="ListParagraph"/>
        <w:ind w:left="1440"/>
        <w:rPr>
          <w:rFonts w:ascii="Times New Roman" w:hAnsi="Times New Roman"/>
        </w:rPr>
      </w:pPr>
    </w:p>
    <w:p w:rsidR="00D6114F" w:rsidRDefault="00D6114F" w:rsidP="00D6114F">
      <w:pPr>
        <w:pStyle w:val="ListParagraph"/>
        <w:numPr>
          <w:ilvl w:val="0"/>
          <w:numId w:val="1"/>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D6114F" w:rsidRDefault="00D6114F" w:rsidP="00D6114F">
      <w:pPr>
        <w:pStyle w:val="ListParagraph"/>
        <w:rPr>
          <w:rFonts w:ascii="Times New Roman" w:hAnsi="Times New Roman"/>
        </w:rPr>
      </w:pPr>
      <w:r w:rsidRPr="00400EAC">
        <w:rPr>
          <w:rFonts w:ascii="Times New Roman" w:hAnsi="Times New Roman"/>
        </w:rPr>
        <w:t>The M.Ed. Elementary Education program is a teaching degree designed to advance the instructional best practices of kindergarten through 6</w:t>
      </w:r>
      <w:r w:rsidRPr="00400EAC">
        <w:rPr>
          <w:rFonts w:ascii="Times New Roman" w:hAnsi="Times New Roman"/>
          <w:vertAlign w:val="superscript"/>
        </w:rPr>
        <w:t>th</w:t>
      </w:r>
      <w:r w:rsidRPr="00400EAC">
        <w:rPr>
          <w:rFonts w:ascii="Times New Roman" w:hAnsi="Times New Roman"/>
        </w:rPr>
        <w:t xml:space="preserve"> grade educators.  </w:t>
      </w:r>
      <w:r>
        <w:rPr>
          <w:rFonts w:ascii="Times New Roman" w:hAnsi="Times New Roman"/>
        </w:rPr>
        <w:t xml:space="preserve">As demonstrated by the </w:t>
      </w:r>
      <w:r>
        <w:rPr>
          <w:rFonts w:ascii="Times New Roman" w:hAnsi="Times New Roman"/>
        </w:rPr>
        <w:lastRenderedPageBreak/>
        <w:t xml:space="preserve">SLOs, educators learn to design and implement integrated teaching units based on current curriculum design research findings, current integration of technology into classroom plans, building a diverse and inclusive learning environment with value-added instructional activities to encourage each child’s best efforts, and the growth of intelligence through increased knowledge and skills training.    </w:t>
      </w:r>
    </w:p>
    <w:p w:rsidR="00D6114F" w:rsidRPr="00671912" w:rsidRDefault="00D6114F" w:rsidP="00D6114F">
      <w:pPr>
        <w:pStyle w:val="ListParagraph"/>
        <w:rPr>
          <w:rFonts w:ascii="Times New Roman" w:hAnsi="Times New Roman"/>
        </w:rPr>
      </w:pPr>
    </w:p>
    <w:p w:rsidR="00D6114F" w:rsidRPr="00671912" w:rsidRDefault="00D6114F" w:rsidP="00D6114F">
      <w:pPr>
        <w:pStyle w:val="ListParagraph"/>
        <w:numPr>
          <w:ilvl w:val="0"/>
          <w:numId w:val="1"/>
        </w:numPr>
        <w:rPr>
          <w:rFonts w:ascii="Times New Roman" w:hAnsi="Times New Roman"/>
        </w:rPr>
      </w:pPr>
      <w:r>
        <w:rPr>
          <w:rFonts w:ascii="Times New Roman" w:hAnsi="Times New Roman"/>
          <w:b/>
        </w:rPr>
        <w:t xml:space="preserve">Documented evidence of what students learned and did not learn based on SLOs. </w:t>
      </w:r>
    </w:p>
    <w:p w:rsidR="00D6114F" w:rsidRDefault="00D6114F" w:rsidP="00D6114F">
      <w:pPr>
        <w:pStyle w:val="ListParagraph"/>
        <w:rPr>
          <w:rFonts w:ascii="Times New Roman" w:hAnsi="Times New Roman"/>
          <w:b/>
        </w:rPr>
      </w:pPr>
      <w:r>
        <w:rPr>
          <w:rFonts w:ascii="Times New Roman" w:hAnsi="Times New Roman"/>
          <w:b/>
        </w:rPr>
        <w:t>What students learned?</w:t>
      </w:r>
    </w:p>
    <w:p w:rsidR="00D6114F" w:rsidRDefault="00D6114F" w:rsidP="00D6114F">
      <w:pPr>
        <w:pStyle w:val="ListParagraph"/>
        <w:rPr>
          <w:rFonts w:ascii="Times New Roman" w:hAnsi="Times New Roman"/>
        </w:rPr>
      </w:pPr>
      <w:r>
        <w:rPr>
          <w:rFonts w:ascii="Times New Roman" w:hAnsi="Times New Roman"/>
        </w:rPr>
        <w:t xml:space="preserve">M.Ed. Elementary Education students reported high scores when analyzing program components, especially in faculty expertise (4.7), best practices (4.6), research skills (4.7), technology (4.6), and scholarly writing (4.7).  Two components were reflections on their advanced abilities in research skills and scholarly writing.  These are important indicators that the graduate program is providing needed experiences in these two areas and increasing students’ confidence in their abilities to conduct research.  The other SLOs are focused on designing powerful learning experiences, creating lively, high impact, brain-based class environments founded on brain-based research, and implementing value-added assessments to diagnose learning achievements.   There </w:t>
      </w:r>
      <w:bookmarkStart w:id="0" w:name="_GoBack"/>
      <w:r>
        <w:rPr>
          <w:rFonts w:ascii="Times New Roman" w:hAnsi="Times New Roman"/>
        </w:rPr>
        <w:t xml:space="preserve">are strong indicators that this was happening across all five SLOs.  </w:t>
      </w:r>
    </w:p>
    <w:bookmarkEnd w:id="0"/>
    <w:p w:rsidR="00D6114F" w:rsidRDefault="00D6114F" w:rsidP="00D6114F">
      <w:pPr>
        <w:pStyle w:val="ListParagraph"/>
        <w:rPr>
          <w:rFonts w:ascii="Times New Roman" w:hAnsi="Times New Roman"/>
        </w:rPr>
      </w:pPr>
    </w:p>
    <w:p w:rsidR="00D6114F" w:rsidRDefault="00D6114F" w:rsidP="00D6114F">
      <w:pPr>
        <w:pStyle w:val="ListParagraph"/>
        <w:rPr>
          <w:rFonts w:ascii="Times New Roman" w:hAnsi="Times New Roman"/>
        </w:rPr>
      </w:pPr>
      <w:r>
        <w:rPr>
          <w:rFonts w:ascii="Times New Roman" w:hAnsi="Times New Roman"/>
          <w:b/>
        </w:rPr>
        <w:t>What students did not learn based on SLOs?</w:t>
      </w:r>
    </w:p>
    <w:p w:rsidR="00D6114F" w:rsidRDefault="00D6114F" w:rsidP="00D6114F">
      <w:pPr>
        <w:pStyle w:val="ListParagraph"/>
        <w:rPr>
          <w:rFonts w:ascii="Times New Roman" w:hAnsi="Times New Roman"/>
        </w:rPr>
      </w:pPr>
      <w:r>
        <w:rPr>
          <w:rFonts w:ascii="Times New Roman" w:hAnsi="Times New Roman"/>
        </w:rPr>
        <w:t xml:space="preserve">Differentiated instruction continues to be the learning block for many of the students.  The inclusive classroom model employs concepts foreign to students who have been previously trained in whole group instruction, teaching to the middle of the group’s abilities, and meeting the needs of exceptional learners.   </w:t>
      </w:r>
    </w:p>
    <w:p w:rsidR="00D6114F" w:rsidRDefault="00D6114F" w:rsidP="00D6114F">
      <w:pPr>
        <w:pStyle w:val="ListParagraph"/>
        <w:rPr>
          <w:rFonts w:ascii="Times New Roman" w:hAnsi="Times New Roman"/>
        </w:rPr>
      </w:pPr>
    </w:p>
    <w:p w:rsidR="00D6114F" w:rsidRPr="00553007" w:rsidRDefault="00D6114F" w:rsidP="00D6114F">
      <w:pPr>
        <w:pStyle w:val="ListParagraph"/>
        <w:numPr>
          <w:ilvl w:val="0"/>
          <w:numId w:val="1"/>
        </w:numPr>
        <w:rPr>
          <w:rFonts w:ascii="Times New Roman" w:hAnsi="Times New Roman"/>
          <w:i/>
          <w:iCs/>
        </w:rPr>
      </w:pPr>
      <w:r w:rsidRPr="00553007">
        <w:rPr>
          <w:rFonts w:ascii="Times New Roman" w:hAnsi="Times New Roman"/>
          <w:b/>
          <w:iCs/>
        </w:rPr>
        <w:t>Evidence of continuing appropriate programmatic SLOs.</w:t>
      </w:r>
    </w:p>
    <w:p w:rsidR="00D6114F" w:rsidRPr="00A22B1C" w:rsidRDefault="00D6114F" w:rsidP="00D6114F">
      <w:pPr>
        <w:pStyle w:val="ListParagraph"/>
        <w:rPr>
          <w:rFonts w:ascii="Times New Roman" w:hAnsi="Times New Roman"/>
          <w:iCs/>
        </w:rPr>
      </w:pPr>
      <w:r>
        <w:rPr>
          <w:rFonts w:ascii="Times New Roman" w:hAnsi="Times New Roman"/>
          <w:iCs/>
        </w:rPr>
        <w:t xml:space="preserve">Four of the five SLOs are being continued without revision because they offer a strong diagnostic analysis of student growth in instructional practices and design.   The Comprehensive Examination is under review determining if more diagnostic program information could be produced through the Teacher Performance Assessment (TPA) which is content and application.  The Comprehensive Examination only provides evidence of content knowledge.  </w:t>
      </w:r>
    </w:p>
    <w:p w:rsidR="00D6114F" w:rsidRDefault="00D6114F" w:rsidP="00D6114F">
      <w:pPr>
        <w:rPr>
          <w:rFonts w:ascii="Times New Roman" w:hAnsi="Times New Roman"/>
          <w:i/>
          <w:iCs/>
        </w:rPr>
      </w:pPr>
    </w:p>
    <w:p w:rsidR="00D6114F" w:rsidRPr="001072F8" w:rsidRDefault="00D6114F" w:rsidP="00D6114F">
      <w:pPr>
        <w:pStyle w:val="ListParagraph"/>
        <w:numPr>
          <w:ilvl w:val="0"/>
          <w:numId w:val="1"/>
        </w:numPr>
        <w:rPr>
          <w:rFonts w:ascii="Times New Roman" w:hAnsi="Times New Roman"/>
          <w:i/>
          <w:iCs/>
        </w:rPr>
      </w:pPr>
      <w:r>
        <w:rPr>
          <w:rFonts w:ascii="Times New Roman" w:hAnsi="Times New Roman"/>
          <w:b/>
          <w:iCs/>
        </w:rPr>
        <w:t xml:space="preserve">Evidence of programmatic revision or improvement for weak results on SLOs. </w:t>
      </w:r>
    </w:p>
    <w:p w:rsidR="00D6114F" w:rsidRPr="00A22B1C" w:rsidRDefault="00D6114F" w:rsidP="00D6114F">
      <w:pPr>
        <w:pStyle w:val="ListParagraph"/>
        <w:rPr>
          <w:rFonts w:ascii="Times New Roman" w:hAnsi="Times New Roman"/>
          <w:iCs/>
        </w:rPr>
      </w:pPr>
      <w:r>
        <w:rPr>
          <w:rFonts w:ascii="Times New Roman" w:hAnsi="Times New Roman"/>
          <w:iCs/>
        </w:rPr>
        <w:t xml:space="preserve">The Teacher Performance Assessment (TPA) is designed to analyze educators’ professional growth throughout the M.Ed. program. The analysis includes the teaching abilities to differentiate instruction, integration of content, demonstrating the educator’s impact on students’ learning in their classrooms.  The Assessing Student Learning was first implemented in 2016-2017.  Four other key assessments will be added to complete the TPA summative assessment package.  The Instructional Unit will be replaced with the TPA assessments. </w:t>
      </w:r>
    </w:p>
    <w:p w:rsidR="00D6114F" w:rsidRPr="001072F8" w:rsidRDefault="00D6114F" w:rsidP="00D6114F">
      <w:pPr>
        <w:pStyle w:val="ListParagraph"/>
        <w:rPr>
          <w:rFonts w:ascii="Times New Roman" w:hAnsi="Times New Roman"/>
          <w:i/>
          <w:iCs/>
        </w:rPr>
      </w:pPr>
    </w:p>
    <w:p w:rsidR="00D6114F" w:rsidRPr="00A22B1C" w:rsidRDefault="00D6114F" w:rsidP="00D6114F">
      <w:pPr>
        <w:rPr>
          <w:rFonts w:ascii="Times New Roman" w:hAnsi="Times New Roman"/>
          <w:i/>
          <w:iCs/>
        </w:rPr>
      </w:pPr>
    </w:p>
    <w:p w:rsidR="00D6114F" w:rsidRPr="00A22B1C" w:rsidRDefault="00D6114F" w:rsidP="00D6114F">
      <w:pPr>
        <w:pStyle w:val="ListParagraph"/>
        <w:rPr>
          <w:rFonts w:ascii="Times New Roman" w:hAnsi="Times New Roman"/>
        </w:rPr>
      </w:pPr>
    </w:p>
    <w:p w:rsidR="00D6114F" w:rsidRPr="00400EAC" w:rsidRDefault="00D6114F" w:rsidP="00D6114F">
      <w:pPr>
        <w:pStyle w:val="ListParagraph"/>
        <w:rPr>
          <w:rFonts w:ascii="Times New Roman" w:hAnsi="Times New Roman"/>
        </w:rPr>
      </w:pP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4043"/>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4F"/>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303"/>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D45"/>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1D8F"/>
    <w:rsid w:val="001B4065"/>
    <w:rsid w:val="001B60A7"/>
    <w:rsid w:val="001B6878"/>
    <w:rsid w:val="001B6AE3"/>
    <w:rsid w:val="001B7095"/>
    <w:rsid w:val="001C026D"/>
    <w:rsid w:val="001C0E0B"/>
    <w:rsid w:val="001C0F13"/>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50F"/>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2D44"/>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151E"/>
    <w:rsid w:val="003620AE"/>
    <w:rsid w:val="00362308"/>
    <w:rsid w:val="0036310E"/>
    <w:rsid w:val="00363D3E"/>
    <w:rsid w:val="00364342"/>
    <w:rsid w:val="00364A01"/>
    <w:rsid w:val="00367450"/>
    <w:rsid w:val="00372EFE"/>
    <w:rsid w:val="003737B4"/>
    <w:rsid w:val="00374A63"/>
    <w:rsid w:val="003836B7"/>
    <w:rsid w:val="003840FA"/>
    <w:rsid w:val="00387892"/>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070"/>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2AA6"/>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0A9E"/>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3A93"/>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19EB"/>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5EBF"/>
    <w:rsid w:val="00A57B15"/>
    <w:rsid w:val="00A620CF"/>
    <w:rsid w:val="00A6782C"/>
    <w:rsid w:val="00A6791A"/>
    <w:rsid w:val="00A70FDB"/>
    <w:rsid w:val="00A72EA2"/>
    <w:rsid w:val="00A75DDD"/>
    <w:rsid w:val="00A75EA1"/>
    <w:rsid w:val="00A82C4F"/>
    <w:rsid w:val="00A82C94"/>
    <w:rsid w:val="00A82EC4"/>
    <w:rsid w:val="00A836AE"/>
    <w:rsid w:val="00A83E4C"/>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2E3"/>
    <w:rsid w:val="00AE47D6"/>
    <w:rsid w:val="00AE50DC"/>
    <w:rsid w:val="00AE5154"/>
    <w:rsid w:val="00AE54B2"/>
    <w:rsid w:val="00AE5A24"/>
    <w:rsid w:val="00AE790B"/>
    <w:rsid w:val="00AF22B9"/>
    <w:rsid w:val="00AF2CA7"/>
    <w:rsid w:val="00AF3FAE"/>
    <w:rsid w:val="00AF4DF1"/>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344D"/>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114F"/>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385C"/>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3025"/>
    <w:rsid w:val="00E73F1D"/>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238C"/>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5A5B"/>
    <w:rsid w:val="00F3698B"/>
    <w:rsid w:val="00F36DED"/>
    <w:rsid w:val="00F40538"/>
    <w:rsid w:val="00F41100"/>
    <w:rsid w:val="00F5249E"/>
    <w:rsid w:val="00F543D1"/>
    <w:rsid w:val="00F6032D"/>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9605-5FCE-46C5-80C1-D0C27DED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4F"/>
    <w:pPr>
      <w:ind w:left="720"/>
    </w:pPr>
  </w:style>
  <w:style w:type="table" w:styleId="TableGrid">
    <w:name w:val="Table Grid"/>
    <w:basedOn w:val="TableNormal"/>
    <w:uiPriority w:val="39"/>
    <w:rsid w:val="00D6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3</cp:revision>
  <dcterms:created xsi:type="dcterms:W3CDTF">2018-01-22T21:19:00Z</dcterms:created>
  <dcterms:modified xsi:type="dcterms:W3CDTF">2018-03-29T19:46:00Z</dcterms:modified>
</cp:coreProperties>
</file>