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0A332" w14:textId="018A7347" w:rsidR="00963908" w:rsidRPr="00EE66A9" w:rsidRDefault="00963908" w:rsidP="00963908">
      <w:pPr>
        <w:jc w:val="center"/>
        <w:rPr>
          <w:rFonts w:cs="Times New Roman"/>
          <w:b/>
          <w:sz w:val="28"/>
          <w:szCs w:val="28"/>
        </w:rPr>
      </w:pPr>
      <w:r w:rsidRPr="00EE66A9">
        <w:rPr>
          <w:rFonts w:cs="Times New Roman"/>
          <w:b/>
          <w:sz w:val="28"/>
          <w:szCs w:val="28"/>
        </w:rPr>
        <w:t xml:space="preserve">William Carey University (WCU) </w:t>
      </w:r>
      <w:r w:rsidR="000642FB">
        <w:rPr>
          <w:rFonts w:cs="Times New Roman"/>
          <w:b/>
          <w:sz w:val="28"/>
          <w:szCs w:val="28"/>
        </w:rPr>
        <w:t>Institutional Review Board (IRB</w:t>
      </w:r>
      <w:r w:rsidRPr="00EE66A9">
        <w:rPr>
          <w:rFonts w:cs="Times New Roman"/>
          <w:b/>
          <w:sz w:val="28"/>
          <w:szCs w:val="28"/>
        </w:rPr>
        <w:t>)</w:t>
      </w:r>
    </w:p>
    <w:p w14:paraId="60FD812A" w14:textId="37751AE6" w:rsidR="00963908" w:rsidRPr="00EE66A9" w:rsidRDefault="000642FB" w:rsidP="00963908">
      <w:pPr>
        <w:jc w:val="center"/>
        <w:rPr>
          <w:rFonts w:cs="Times New Roman"/>
          <w:b/>
          <w:sz w:val="28"/>
          <w:szCs w:val="28"/>
        </w:rPr>
      </w:pPr>
      <w:r>
        <w:rPr>
          <w:rFonts w:cs="Times New Roman"/>
          <w:b/>
          <w:sz w:val="28"/>
          <w:szCs w:val="28"/>
        </w:rPr>
        <w:t>Medical Treatment Supplemental Application</w:t>
      </w:r>
    </w:p>
    <w:p w14:paraId="19A11669" w14:textId="77777777" w:rsidR="007A3B5E" w:rsidRPr="00343A1C" w:rsidRDefault="007A3B5E" w:rsidP="007A3B5E">
      <w:pPr>
        <w:jc w:val="center"/>
        <w:rPr>
          <w:sz w:val="22"/>
          <w:szCs w:val="22"/>
        </w:rPr>
      </w:pPr>
    </w:p>
    <w:p w14:paraId="130EC806" w14:textId="3B9ADAD4" w:rsidR="000627E0" w:rsidRDefault="00AB231C" w:rsidP="00E77689">
      <w:r>
        <w:t xml:space="preserve">DIRECTIONS: </w:t>
      </w:r>
      <w:r w:rsidR="007F1503">
        <w:t xml:space="preserve">Complete this form in its entirety and submit it along with the “WCU IRB Primary Application” if the Research Project will involve any of the following: </w:t>
      </w:r>
      <w:bookmarkStart w:id="0" w:name="_GoBack"/>
      <w:r w:rsidR="007F1503">
        <w:t>(1) obtaining human biological samples, (2) recording height, weight, blood pressure, temperature, or any other externally derived measure, (3) having subjects engage in physical activity, (4) obtaining medical information or history, and/or (5) administering biological, pharmaceutical, herbal, and/or dietary sup</w:t>
      </w:r>
      <w:r w:rsidR="005A6E91">
        <w:t>plemental products to subjects.</w:t>
      </w:r>
      <w:bookmarkEnd w:id="0"/>
    </w:p>
    <w:p w14:paraId="19BE3FC1" w14:textId="77777777" w:rsidR="005A6E91" w:rsidRDefault="005A6E91" w:rsidP="005A6E91">
      <w:pPr>
        <w:spacing w:line="360" w:lineRule="auto"/>
        <w:jc w:val="center"/>
        <w:rPr>
          <w:b/>
          <w:u w:val="single"/>
        </w:rPr>
      </w:pPr>
    </w:p>
    <w:p w14:paraId="61E4B76A" w14:textId="1E5D57B8" w:rsidR="005A6E91" w:rsidRPr="005A6E91" w:rsidRDefault="005A6E91" w:rsidP="005A6E91">
      <w:pPr>
        <w:spacing w:line="360" w:lineRule="auto"/>
        <w:jc w:val="center"/>
        <w:rPr>
          <w:b/>
          <w:u w:val="single"/>
        </w:rPr>
      </w:pPr>
      <w:r>
        <w:rPr>
          <w:b/>
          <w:u w:val="single"/>
        </w:rPr>
        <w:t>Table of Contents</w:t>
      </w:r>
    </w:p>
    <w:p w14:paraId="32A09DF0" w14:textId="094109E1" w:rsidR="005A6E91" w:rsidRDefault="005A6E91" w:rsidP="005A6E91">
      <w:pPr>
        <w:spacing w:line="360" w:lineRule="auto"/>
        <w:ind w:left="720"/>
        <w:rPr>
          <w:b/>
        </w:rPr>
      </w:pPr>
      <w:r w:rsidRPr="005A6E91">
        <w:rPr>
          <w:b/>
        </w:rPr>
        <w:t>Part A: Evaluations &amp; Measurements</w:t>
      </w:r>
    </w:p>
    <w:p w14:paraId="4422DDD4" w14:textId="3AA45F9E" w:rsidR="005A6E91" w:rsidRPr="005A6E91" w:rsidRDefault="005A6E91" w:rsidP="005A6E91">
      <w:pPr>
        <w:spacing w:line="360" w:lineRule="auto"/>
        <w:ind w:left="720"/>
        <w:rPr>
          <w:b/>
        </w:rPr>
      </w:pPr>
      <w:r>
        <w:rPr>
          <w:b/>
        </w:rPr>
        <w:t>Part B: Safety Management</w:t>
      </w:r>
    </w:p>
    <w:p w14:paraId="5F53640A" w14:textId="77777777" w:rsidR="005A6E91" w:rsidRPr="005A6E91" w:rsidRDefault="005A6E91" w:rsidP="005A6E91">
      <w:pPr>
        <w:spacing w:line="360" w:lineRule="auto"/>
        <w:jc w:val="center"/>
        <w:rPr>
          <w:b/>
          <w:u w:val="single"/>
        </w:rPr>
      </w:pPr>
    </w:p>
    <w:p w14:paraId="64F62FD5" w14:textId="5DB41DB6" w:rsidR="0096668A" w:rsidRPr="00A52A4F" w:rsidRDefault="005A6E91" w:rsidP="005A6E91">
      <w:pPr>
        <w:spacing w:line="360" w:lineRule="auto"/>
        <w:jc w:val="center"/>
        <w:rPr>
          <w:b/>
          <w:u w:val="single"/>
        </w:rPr>
      </w:pPr>
      <w:r>
        <w:rPr>
          <w:b/>
          <w:u w:val="single"/>
        </w:rPr>
        <w:t>Part A:</w:t>
      </w:r>
      <w:r w:rsidR="00A52A4F" w:rsidRPr="00A52A4F">
        <w:rPr>
          <w:b/>
          <w:u w:val="single"/>
        </w:rPr>
        <w:t xml:space="preserve"> Evaluations &amp; Measurements</w:t>
      </w:r>
    </w:p>
    <w:p w14:paraId="3DE258F8" w14:textId="77777777" w:rsidR="00EF7D61" w:rsidRDefault="00EF7D61" w:rsidP="005A6E91">
      <w:pPr>
        <w:spacing w:line="360" w:lineRule="auto"/>
        <w:rPr>
          <w:b/>
        </w:rPr>
      </w:pPr>
    </w:p>
    <w:p w14:paraId="281C24EC" w14:textId="2368E354" w:rsidR="00AF2591" w:rsidRDefault="0096668A" w:rsidP="005A6E91">
      <w:pPr>
        <w:spacing w:line="360" w:lineRule="auto"/>
        <w:rPr>
          <w:b/>
        </w:rPr>
      </w:pPr>
      <w:r>
        <w:rPr>
          <w:b/>
        </w:rPr>
        <w:t>I.</w:t>
      </w:r>
      <w:r>
        <w:rPr>
          <w:b/>
        </w:rPr>
        <w:tab/>
      </w:r>
      <w:r w:rsidR="006E2709">
        <w:rPr>
          <w:b/>
        </w:rPr>
        <w:t>Screening and Monitoring Evaluations and Measurements</w:t>
      </w:r>
    </w:p>
    <w:p w14:paraId="42B88328" w14:textId="77777777" w:rsidR="00D54FE6" w:rsidRDefault="00D54FE6" w:rsidP="005A6E91">
      <w:pPr>
        <w:spacing w:line="360" w:lineRule="auto"/>
        <w:rPr>
          <w:b/>
        </w:rPr>
      </w:pPr>
    </w:p>
    <w:p w14:paraId="5AC1322C" w14:textId="62404C37" w:rsidR="00AF2591" w:rsidRPr="007A2E09" w:rsidRDefault="008158AF" w:rsidP="005A6E91">
      <w:pPr>
        <w:pStyle w:val="ListParagraph"/>
        <w:numPr>
          <w:ilvl w:val="0"/>
          <w:numId w:val="42"/>
        </w:numPr>
        <w:spacing w:line="360" w:lineRule="auto"/>
        <w:rPr>
          <w:b/>
        </w:rPr>
      </w:pPr>
      <w:r>
        <w:rPr>
          <w:b/>
        </w:rPr>
        <w:t>Medical Record Review –</w:t>
      </w:r>
      <w:r w:rsidR="00AF2591" w:rsidRPr="007A2E09">
        <w:rPr>
          <w:b/>
        </w:rPr>
        <w:t xml:space="preserve"> Include a li</w:t>
      </w:r>
      <w:r w:rsidR="00B8076E">
        <w:rPr>
          <w:b/>
        </w:rPr>
        <w:t>sting of variables (e.g., DOB, w</w:t>
      </w:r>
      <w:r w:rsidR="00AF2591" w:rsidRPr="007A2E09">
        <w:rPr>
          <w:b/>
        </w:rPr>
        <w:t>eight, etc.) that will be extracted from medical chart (paper or electronic).</w:t>
      </w:r>
    </w:p>
    <w:p w14:paraId="2D30C9E0" w14:textId="3484F4EB" w:rsidR="00AF2591" w:rsidRPr="007A2E09" w:rsidRDefault="00AF2591" w:rsidP="00D54FE6">
      <w:pPr>
        <w:pStyle w:val="ListParagraph"/>
        <w:spacing w:line="360" w:lineRule="auto"/>
        <w:rPr>
          <w:rFonts w:ascii="Candara" w:hAnsi="Candara"/>
        </w:rPr>
      </w:pPr>
      <w:r w:rsidRPr="007A2E09">
        <w:rPr>
          <w:rFonts w:ascii="Candara" w:hAnsi="Candara"/>
        </w:rPr>
        <w:t>Response:</w:t>
      </w:r>
    </w:p>
    <w:p w14:paraId="32B3F354" w14:textId="77777777" w:rsidR="00AF2591" w:rsidRPr="007A2E09" w:rsidRDefault="00AF2591" w:rsidP="00D54FE6">
      <w:pPr>
        <w:pStyle w:val="ListParagraph"/>
        <w:spacing w:line="360" w:lineRule="auto"/>
        <w:rPr>
          <w:rFonts w:ascii="Candara" w:hAnsi="Candara"/>
        </w:rPr>
      </w:pPr>
    </w:p>
    <w:p w14:paraId="3C8ABEC6" w14:textId="64333113" w:rsidR="00AF2591" w:rsidRPr="00343831" w:rsidRDefault="00AF2591" w:rsidP="00AF2591">
      <w:pPr>
        <w:pStyle w:val="ListParagraph"/>
        <w:numPr>
          <w:ilvl w:val="0"/>
          <w:numId w:val="42"/>
        </w:numPr>
        <w:spacing w:line="360" w:lineRule="auto"/>
        <w:rPr>
          <w:rFonts w:cs="Times New Roman"/>
          <w:b/>
        </w:rPr>
      </w:pPr>
      <w:r w:rsidRPr="00343831">
        <w:rPr>
          <w:rFonts w:cs="Times New Roman"/>
          <w:b/>
        </w:rPr>
        <w:t>Physical Examinat</w:t>
      </w:r>
      <w:r w:rsidR="008158AF">
        <w:rPr>
          <w:rFonts w:cs="Times New Roman"/>
          <w:b/>
        </w:rPr>
        <w:t xml:space="preserve">ion – </w:t>
      </w:r>
      <w:r w:rsidRPr="00343831">
        <w:rPr>
          <w:rFonts w:cs="Times New Roman"/>
          <w:b/>
        </w:rPr>
        <w:t>Describe baseline evaluations</w:t>
      </w:r>
      <w:r w:rsidR="00994FFE" w:rsidRPr="00343831">
        <w:rPr>
          <w:rFonts w:cs="Times New Roman"/>
          <w:b/>
        </w:rPr>
        <w:t xml:space="preserve"> to be conducted,</w:t>
      </w:r>
      <w:r w:rsidRPr="00343831">
        <w:rPr>
          <w:rFonts w:cs="Times New Roman"/>
          <w:b/>
        </w:rPr>
        <w:t xml:space="preserve"> including medical history, physical examination, demographic characteristics</w:t>
      </w:r>
      <w:r w:rsidR="00994FFE" w:rsidRPr="00343831">
        <w:rPr>
          <w:rFonts w:cs="Times New Roman"/>
          <w:b/>
        </w:rPr>
        <w:t>, etc.</w:t>
      </w:r>
      <w:r w:rsidR="00343831" w:rsidRPr="00343831">
        <w:rPr>
          <w:rFonts w:cs="Times New Roman"/>
          <w:b/>
        </w:rPr>
        <w:t xml:space="preserve"> (i.e</w:t>
      </w:r>
      <w:r w:rsidRPr="00343831">
        <w:rPr>
          <w:rFonts w:cs="Times New Roman"/>
          <w:b/>
        </w:rPr>
        <w:t>., age, gender, race</w:t>
      </w:r>
      <w:r w:rsidR="00343831" w:rsidRPr="00343831">
        <w:rPr>
          <w:rFonts w:cs="Times New Roman"/>
          <w:b/>
        </w:rPr>
        <w:t>, etc.</w:t>
      </w:r>
      <w:r w:rsidRPr="00343831">
        <w:rPr>
          <w:rFonts w:cs="Times New Roman"/>
          <w:b/>
        </w:rPr>
        <w:t>)</w:t>
      </w:r>
    </w:p>
    <w:p w14:paraId="64519F91" w14:textId="7FEE3BBF" w:rsidR="00AF2591" w:rsidRPr="00343831" w:rsidRDefault="00AF2591" w:rsidP="00AF2591">
      <w:pPr>
        <w:pStyle w:val="ListParagraph"/>
        <w:spacing w:line="360" w:lineRule="auto"/>
        <w:rPr>
          <w:rFonts w:ascii="Candara" w:hAnsi="Candara" w:cs="Times New Roman"/>
        </w:rPr>
      </w:pPr>
      <w:r w:rsidRPr="00343831">
        <w:rPr>
          <w:rFonts w:ascii="Candara" w:hAnsi="Candara" w:cs="Times New Roman"/>
        </w:rPr>
        <w:t>Response:</w:t>
      </w:r>
    </w:p>
    <w:p w14:paraId="7176FEC7" w14:textId="77777777" w:rsidR="00AF2591" w:rsidRPr="00343831" w:rsidRDefault="00AF2591" w:rsidP="00AF2591">
      <w:pPr>
        <w:pStyle w:val="ListParagraph"/>
        <w:spacing w:line="360" w:lineRule="auto"/>
        <w:rPr>
          <w:rFonts w:ascii="Candara" w:hAnsi="Candara" w:cs="Times New Roman"/>
        </w:rPr>
      </w:pPr>
    </w:p>
    <w:p w14:paraId="7D1903D0" w14:textId="493D617F" w:rsidR="00AF2591" w:rsidRPr="006F6378" w:rsidRDefault="008158AF" w:rsidP="00AF2591">
      <w:pPr>
        <w:pStyle w:val="ListParagraph"/>
        <w:numPr>
          <w:ilvl w:val="0"/>
          <w:numId w:val="42"/>
        </w:numPr>
        <w:spacing w:line="360" w:lineRule="auto"/>
        <w:rPr>
          <w:rFonts w:cs="Times New Roman"/>
          <w:b/>
        </w:rPr>
      </w:pPr>
      <w:r>
        <w:rPr>
          <w:rFonts w:cs="Times New Roman"/>
          <w:b/>
        </w:rPr>
        <w:t>Vital Signs –</w:t>
      </w:r>
      <w:r w:rsidR="00AF2591" w:rsidRPr="006F6378">
        <w:rPr>
          <w:rFonts w:cs="Times New Roman"/>
          <w:b/>
        </w:rPr>
        <w:t xml:space="preserve"> Describe measures that will be made and how they will </w:t>
      </w:r>
      <w:r w:rsidR="00D54FE6" w:rsidRPr="006F6378">
        <w:rPr>
          <w:rFonts w:cs="Times New Roman"/>
          <w:b/>
        </w:rPr>
        <w:t xml:space="preserve">be made. </w:t>
      </w:r>
      <w:r w:rsidR="00CB1BDA" w:rsidRPr="006F6378">
        <w:rPr>
          <w:rFonts w:cs="Times New Roman"/>
          <w:b/>
        </w:rPr>
        <w:t>(</w:t>
      </w:r>
      <w:r w:rsidR="00D54FE6" w:rsidRPr="006F6378">
        <w:rPr>
          <w:rFonts w:cs="Times New Roman"/>
          <w:b/>
        </w:rPr>
        <w:t>e.g., Will blood pressure</w:t>
      </w:r>
      <w:r w:rsidR="00AF2591" w:rsidRPr="006F6378">
        <w:rPr>
          <w:rFonts w:cs="Times New Roman"/>
          <w:b/>
        </w:rPr>
        <w:t xml:space="preserve"> be measured using an automated device or with an aneroid sphygmomanometer?  Which arm will be used?  Will participant be sitting or ly</w:t>
      </w:r>
      <w:r w:rsidR="00D54FE6" w:rsidRPr="006F6378">
        <w:rPr>
          <w:rFonts w:cs="Times New Roman"/>
          <w:b/>
        </w:rPr>
        <w:t>ing down?  Will more than one blood pressure</w:t>
      </w:r>
      <w:r w:rsidR="00AF2591" w:rsidRPr="006F6378">
        <w:rPr>
          <w:rFonts w:cs="Times New Roman"/>
          <w:b/>
        </w:rPr>
        <w:t xml:space="preserve"> measurement be made &amp; averaged?</w:t>
      </w:r>
      <w:r w:rsidR="00CB1BDA" w:rsidRPr="006F6378">
        <w:rPr>
          <w:rFonts w:cs="Times New Roman"/>
          <w:b/>
        </w:rPr>
        <w:t>)</w:t>
      </w:r>
    </w:p>
    <w:p w14:paraId="18008583" w14:textId="670EA610" w:rsidR="00D54FE6" w:rsidRPr="006F6378" w:rsidRDefault="00D54FE6" w:rsidP="00D54FE6">
      <w:pPr>
        <w:pStyle w:val="ListParagraph"/>
        <w:spacing w:line="360" w:lineRule="auto"/>
        <w:rPr>
          <w:rFonts w:ascii="Candara" w:hAnsi="Candara" w:cs="Times New Roman"/>
        </w:rPr>
      </w:pPr>
      <w:r w:rsidRPr="006F6378">
        <w:rPr>
          <w:rFonts w:ascii="Candara" w:hAnsi="Candara" w:cs="Times New Roman"/>
        </w:rPr>
        <w:lastRenderedPageBreak/>
        <w:t>Response:</w:t>
      </w:r>
    </w:p>
    <w:p w14:paraId="000967B2" w14:textId="77777777" w:rsidR="009E78FD" w:rsidRPr="006F6378" w:rsidRDefault="009E78FD" w:rsidP="00D54FE6">
      <w:pPr>
        <w:pStyle w:val="ListParagraph"/>
        <w:spacing w:line="360" w:lineRule="auto"/>
        <w:rPr>
          <w:rFonts w:ascii="Candara" w:hAnsi="Candara" w:cs="Times New Roman"/>
        </w:rPr>
      </w:pPr>
    </w:p>
    <w:p w14:paraId="03DBC0E1" w14:textId="22D8112E" w:rsidR="009E78FD" w:rsidRPr="00F2121E" w:rsidRDefault="008158AF" w:rsidP="009E78FD">
      <w:pPr>
        <w:pStyle w:val="ListParagraph"/>
        <w:numPr>
          <w:ilvl w:val="0"/>
          <w:numId w:val="42"/>
        </w:numPr>
        <w:spacing w:line="360" w:lineRule="auto"/>
        <w:rPr>
          <w:rFonts w:cs="Times New Roman"/>
          <w:b/>
        </w:rPr>
      </w:pPr>
      <w:r>
        <w:rPr>
          <w:rFonts w:cs="Times New Roman"/>
          <w:b/>
        </w:rPr>
        <w:t>Laboratory Evaluations –</w:t>
      </w:r>
      <w:r w:rsidR="009E78FD" w:rsidRPr="00F2121E">
        <w:rPr>
          <w:rFonts w:cs="Times New Roman"/>
          <w:b/>
        </w:rPr>
        <w:t xml:space="preserve"> Provide the following information if blood sampling will be performed as part of laboratory evaluations:</w:t>
      </w:r>
    </w:p>
    <w:p w14:paraId="25099E72" w14:textId="2EF4A916" w:rsidR="009E78FD" w:rsidRPr="00F2121E" w:rsidRDefault="009E78FD" w:rsidP="009E78FD">
      <w:pPr>
        <w:pStyle w:val="ListParagraph"/>
        <w:numPr>
          <w:ilvl w:val="1"/>
          <w:numId w:val="42"/>
        </w:numPr>
        <w:spacing w:line="360" w:lineRule="auto"/>
        <w:rPr>
          <w:rFonts w:cs="Times New Roman"/>
          <w:b/>
        </w:rPr>
      </w:pPr>
      <w:r w:rsidRPr="00F2121E">
        <w:rPr>
          <w:rFonts w:cs="Times New Roman"/>
          <w:b/>
        </w:rPr>
        <w:t>Hematology (e.g., Hematol</w:t>
      </w:r>
      <w:r w:rsidR="00F2121E">
        <w:rPr>
          <w:rFonts w:cs="Times New Roman"/>
          <w:b/>
        </w:rPr>
        <w:t>ogy testing</w:t>
      </w:r>
      <w:r w:rsidR="00BC6679">
        <w:rPr>
          <w:rFonts w:cs="Times New Roman"/>
          <w:b/>
        </w:rPr>
        <w:t xml:space="preserve"> – such as h</w:t>
      </w:r>
      <w:r w:rsidR="00BC6679" w:rsidRPr="00F2121E">
        <w:rPr>
          <w:rFonts w:cs="Times New Roman"/>
          <w:b/>
        </w:rPr>
        <w:t>emoglobin, hematocrit, RBC count, WBC with differential, etc.</w:t>
      </w:r>
      <w:r w:rsidR="00BC6679">
        <w:rPr>
          <w:rFonts w:cs="Times New Roman"/>
          <w:b/>
        </w:rPr>
        <w:t xml:space="preserve"> –</w:t>
      </w:r>
      <w:r w:rsidR="00F2121E">
        <w:rPr>
          <w:rFonts w:cs="Times New Roman"/>
          <w:b/>
        </w:rPr>
        <w:t xml:space="preserve"> will be performed in</w:t>
      </w:r>
      <w:r w:rsidR="00BC6679">
        <w:rPr>
          <w:rFonts w:cs="Times New Roman"/>
          <w:b/>
        </w:rPr>
        <w:t xml:space="preserve"> the laboratory of choice.</w:t>
      </w:r>
      <w:r w:rsidRPr="00F2121E">
        <w:rPr>
          <w:rFonts w:cs="Times New Roman"/>
          <w:b/>
        </w:rPr>
        <w:t>)</w:t>
      </w:r>
    </w:p>
    <w:p w14:paraId="02419B47" w14:textId="6AA3E335" w:rsidR="009E78FD" w:rsidRPr="00F2121E" w:rsidRDefault="009E78FD" w:rsidP="009E78FD">
      <w:pPr>
        <w:pStyle w:val="ListParagraph"/>
        <w:spacing w:line="360" w:lineRule="auto"/>
        <w:ind w:left="1440"/>
        <w:rPr>
          <w:rFonts w:ascii="Candara" w:hAnsi="Candara" w:cs="Times New Roman"/>
        </w:rPr>
      </w:pPr>
      <w:r w:rsidRPr="00F2121E">
        <w:rPr>
          <w:rFonts w:ascii="Candara" w:hAnsi="Candara" w:cs="Times New Roman"/>
        </w:rPr>
        <w:t>Response:</w:t>
      </w:r>
    </w:p>
    <w:p w14:paraId="41DB08D9" w14:textId="77777777" w:rsidR="009E78FD" w:rsidRPr="00F2121E" w:rsidRDefault="009E78FD" w:rsidP="009E78FD">
      <w:pPr>
        <w:pStyle w:val="ListParagraph"/>
        <w:spacing w:line="360" w:lineRule="auto"/>
        <w:ind w:left="1440"/>
        <w:rPr>
          <w:rFonts w:ascii="Candara" w:hAnsi="Candara" w:cs="Times New Roman"/>
        </w:rPr>
      </w:pPr>
    </w:p>
    <w:p w14:paraId="29C81B10" w14:textId="505D0836" w:rsidR="009E78FD" w:rsidRPr="00533B4C" w:rsidRDefault="004A20AA" w:rsidP="00DE48CC">
      <w:pPr>
        <w:pStyle w:val="ListParagraph"/>
        <w:numPr>
          <w:ilvl w:val="1"/>
          <w:numId w:val="42"/>
        </w:numPr>
        <w:spacing w:line="360" w:lineRule="auto"/>
        <w:rPr>
          <w:rFonts w:cs="Times New Roman"/>
          <w:b/>
        </w:rPr>
      </w:pPr>
      <w:r w:rsidRPr="00533B4C">
        <w:rPr>
          <w:rFonts w:cs="Times New Roman"/>
          <w:b/>
        </w:rPr>
        <w:t xml:space="preserve">Pregnancy </w:t>
      </w:r>
      <w:r w:rsidR="00DE48CC" w:rsidRPr="00533B4C">
        <w:rPr>
          <w:rFonts w:cs="Times New Roman"/>
          <w:b/>
        </w:rPr>
        <w:t>(e.g., A urine pregnancy test will be performed for female subjects aged 11 and older, and females under the age of 11 who are physically capable of becoming pregnant.)</w:t>
      </w:r>
    </w:p>
    <w:p w14:paraId="3759C817" w14:textId="0A5DDC85" w:rsidR="00994FFE" w:rsidRPr="00533B4C" w:rsidRDefault="00DE48CC" w:rsidP="00DE48CC">
      <w:pPr>
        <w:pStyle w:val="ListParagraph"/>
        <w:spacing w:line="360" w:lineRule="auto"/>
        <w:ind w:left="1440"/>
        <w:rPr>
          <w:rFonts w:ascii="Candara" w:hAnsi="Candara" w:cs="Times New Roman"/>
        </w:rPr>
      </w:pPr>
      <w:r w:rsidRPr="00533B4C">
        <w:rPr>
          <w:rFonts w:ascii="Candara" w:hAnsi="Candara" w:cs="Times New Roman"/>
        </w:rPr>
        <w:t>Response:</w:t>
      </w:r>
    </w:p>
    <w:p w14:paraId="4DE19CB4" w14:textId="77777777" w:rsidR="00994FFE" w:rsidRPr="00533B4C" w:rsidRDefault="00994FFE" w:rsidP="00994FFE">
      <w:pPr>
        <w:pStyle w:val="ListParagraph"/>
        <w:spacing w:line="360" w:lineRule="auto"/>
        <w:rPr>
          <w:rFonts w:ascii="Candara" w:hAnsi="Candara" w:cs="Times New Roman"/>
        </w:rPr>
      </w:pPr>
    </w:p>
    <w:p w14:paraId="63457CAE" w14:textId="0A618E5A" w:rsidR="00994FFE" w:rsidRDefault="00994FFE" w:rsidP="005D0FC8">
      <w:pPr>
        <w:pStyle w:val="ListParagraph"/>
        <w:numPr>
          <w:ilvl w:val="0"/>
          <w:numId w:val="42"/>
        </w:numPr>
        <w:spacing w:line="360" w:lineRule="auto"/>
        <w:rPr>
          <w:rFonts w:cs="Times New Roman"/>
          <w:b/>
        </w:rPr>
      </w:pPr>
      <w:r w:rsidRPr="00994FFE">
        <w:rPr>
          <w:rFonts w:cs="Times New Roman"/>
          <w:b/>
        </w:rPr>
        <w:t>Other Evaluations &amp; Measures</w:t>
      </w:r>
      <w:r>
        <w:rPr>
          <w:rFonts w:cs="Times New Roman"/>
          <w:b/>
        </w:rPr>
        <w:t>:</w:t>
      </w:r>
      <w:r w:rsidR="005D0FC8">
        <w:rPr>
          <w:rFonts w:cs="Times New Roman"/>
          <w:b/>
        </w:rPr>
        <w:t xml:space="preserve"> </w:t>
      </w:r>
      <w:r w:rsidR="005D0FC8" w:rsidRPr="005D0FC8">
        <w:rPr>
          <w:rFonts w:cs="Times New Roman"/>
          <w:b/>
        </w:rPr>
        <w:t xml:space="preserve">Describe </w:t>
      </w:r>
      <w:r w:rsidR="005D0FC8">
        <w:rPr>
          <w:rFonts w:cs="Times New Roman"/>
          <w:b/>
        </w:rPr>
        <w:t xml:space="preserve">all </w:t>
      </w:r>
      <w:r w:rsidR="005D0FC8" w:rsidRPr="005D0FC8">
        <w:rPr>
          <w:rFonts w:cs="Times New Roman"/>
          <w:b/>
        </w:rPr>
        <w:t>other rating scales, tests, psychological tools, laboratory evaluations, etc. not already covered</w:t>
      </w:r>
      <w:r w:rsidR="005D0FC8">
        <w:rPr>
          <w:rFonts w:cs="Times New Roman"/>
          <w:b/>
        </w:rPr>
        <w:t xml:space="preserve"> previously. </w:t>
      </w:r>
    </w:p>
    <w:p w14:paraId="5B9ED574" w14:textId="2F6EE94D" w:rsidR="005D0FC8" w:rsidRPr="005D0FC8" w:rsidRDefault="005D0FC8" w:rsidP="005D0FC8">
      <w:pPr>
        <w:pStyle w:val="ListParagraph"/>
        <w:spacing w:line="360" w:lineRule="auto"/>
        <w:rPr>
          <w:rFonts w:ascii="Candara" w:hAnsi="Candara" w:cs="Times New Roman"/>
        </w:rPr>
      </w:pPr>
      <w:r>
        <w:rPr>
          <w:rFonts w:ascii="Candara" w:hAnsi="Candara" w:cs="Times New Roman"/>
        </w:rPr>
        <w:t>Response:</w:t>
      </w:r>
    </w:p>
    <w:p w14:paraId="0021ABC6" w14:textId="77777777" w:rsidR="00A978DF" w:rsidRDefault="00A978DF">
      <w:pPr>
        <w:rPr>
          <w:b/>
        </w:rPr>
      </w:pPr>
    </w:p>
    <w:p w14:paraId="7DDC25D4" w14:textId="700ECD1D" w:rsidR="00A978DF" w:rsidRDefault="00473EC7" w:rsidP="00ED440B">
      <w:pPr>
        <w:spacing w:line="360" w:lineRule="auto"/>
        <w:ind w:left="720" w:hanging="720"/>
        <w:rPr>
          <w:b/>
        </w:rPr>
      </w:pPr>
      <w:r>
        <w:rPr>
          <w:b/>
        </w:rPr>
        <w:t>II.</w:t>
      </w:r>
      <w:r>
        <w:rPr>
          <w:b/>
        </w:rPr>
        <w:tab/>
        <w:t>Efficacy Evaluations – If applicable, describe the measures that will be used to assess the efficacy of the Research Project’s intervention. In an observational study, assignment to the intervention is not made by the investigator. Note that the discussion of these evaluations is usually quite detailed.</w:t>
      </w:r>
      <w:r w:rsidR="00C53048">
        <w:rPr>
          <w:b/>
        </w:rPr>
        <w:t xml:space="preserve"> Please address</w:t>
      </w:r>
      <w:r>
        <w:rPr>
          <w:b/>
        </w:rPr>
        <w:t xml:space="preserve"> (1) </w:t>
      </w:r>
      <w:proofErr w:type="gramStart"/>
      <w:r>
        <w:rPr>
          <w:b/>
        </w:rPr>
        <w:t>What</w:t>
      </w:r>
      <w:proofErr w:type="gramEnd"/>
      <w:r>
        <w:rPr>
          <w:b/>
        </w:rPr>
        <w:t xml:space="preserve"> diagnostic tests, scales, measures, etc. will be utilized to evaluate efficacy? (2) What will be the methods and schedules utilized to implement these diagnostic tests, scales, measures, etc.? </w:t>
      </w:r>
    </w:p>
    <w:p w14:paraId="6A746113" w14:textId="5B0B6D67" w:rsidR="00E505F6" w:rsidRPr="00A73A37" w:rsidRDefault="00E505F6" w:rsidP="00ED440B">
      <w:pPr>
        <w:spacing w:line="360" w:lineRule="auto"/>
        <w:ind w:left="1440" w:hanging="720"/>
        <w:rPr>
          <w:rFonts w:ascii="Candara" w:hAnsi="Candara"/>
        </w:rPr>
      </w:pPr>
      <w:r w:rsidRPr="00A73A37">
        <w:rPr>
          <w:rFonts w:ascii="Candara" w:hAnsi="Candara"/>
        </w:rPr>
        <w:t>Response:</w:t>
      </w:r>
    </w:p>
    <w:p w14:paraId="7BE9FFE8" w14:textId="77777777" w:rsidR="00E505F6" w:rsidRPr="00A73A37" w:rsidRDefault="00E505F6" w:rsidP="00ED440B">
      <w:pPr>
        <w:spacing w:line="360" w:lineRule="auto"/>
        <w:ind w:left="1440" w:hanging="720"/>
        <w:rPr>
          <w:rFonts w:ascii="Candara" w:hAnsi="Candara"/>
        </w:rPr>
      </w:pPr>
    </w:p>
    <w:p w14:paraId="29EDEBFB" w14:textId="0E28F9D2" w:rsidR="00A978DF" w:rsidRDefault="00A978DF" w:rsidP="00D4669D">
      <w:pPr>
        <w:spacing w:line="360" w:lineRule="auto"/>
        <w:ind w:left="720" w:hanging="720"/>
        <w:rPr>
          <w:b/>
        </w:rPr>
      </w:pPr>
      <w:r>
        <w:rPr>
          <w:b/>
        </w:rPr>
        <w:t>III.</w:t>
      </w:r>
      <w:r>
        <w:rPr>
          <w:b/>
        </w:rPr>
        <w:tab/>
        <w:t>Pharmacokinetic</w:t>
      </w:r>
      <w:r w:rsidR="00D4669D">
        <w:rPr>
          <w:b/>
        </w:rPr>
        <w:t xml:space="preserve"> Evaluation – If applicable, describe all pharmacokinetic evaluations to be utilized by the Research Project. </w:t>
      </w:r>
      <w:r w:rsidR="00D80E63">
        <w:rPr>
          <w:b/>
        </w:rPr>
        <w:t>Please address</w:t>
      </w:r>
      <w:r w:rsidR="00315231">
        <w:rPr>
          <w:b/>
        </w:rPr>
        <w:t xml:space="preserve"> </w:t>
      </w:r>
      <w:r w:rsidR="00315231">
        <w:rPr>
          <w:b/>
        </w:rPr>
        <w:lastRenderedPageBreak/>
        <w:t>such issues as the following, along with any other relevant details:</w:t>
      </w:r>
      <w:r w:rsidR="00D80E63">
        <w:rPr>
          <w:b/>
        </w:rPr>
        <w:t xml:space="preserve"> (1) </w:t>
      </w:r>
      <w:proofErr w:type="gramStart"/>
      <w:r w:rsidR="00D80E63">
        <w:rPr>
          <w:b/>
        </w:rPr>
        <w:t>What</w:t>
      </w:r>
      <w:proofErr w:type="gramEnd"/>
      <w:r w:rsidR="00D80E63">
        <w:rPr>
          <w:b/>
        </w:rPr>
        <w:t xml:space="preserve"> sampling method will be utilized? (2) What will be your parameters? (3) Will you utilize model-dependent or model-independent methods?</w:t>
      </w:r>
    </w:p>
    <w:p w14:paraId="15A22864" w14:textId="0C4E04AF" w:rsidR="00D80E63" w:rsidRPr="00D80E63" w:rsidRDefault="00D80E63" w:rsidP="00D80E63">
      <w:pPr>
        <w:spacing w:line="360" w:lineRule="auto"/>
        <w:ind w:left="1440" w:hanging="720"/>
        <w:rPr>
          <w:rFonts w:ascii="Candara" w:hAnsi="Candara"/>
        </w:rPr>
      </w:pPr>
      <w:r w:rsidRPr="00D80E63">
        <w:rPr>
          <w:rFonts w:ascii="Candara" w:hAnsi="Candara"/>
        </w:rPr>
        <w:t>Response:</w:t>
      </w:r>
    </w:p>
    <w:p w14:paraId="477C24D8" w14:textId="77777777" w:rsidR="00D4669D" w:rsidRPr="00D80E63" w:rsidRDefault="00D4669D" w:rsidP="00D4669D">
      <w:pPr>
        <w:spacing w:line="360" w:lineRule="auto"/>
      </w:pPr>
    </w:p>
    <w:p w14:paraId="2A32EF6C" w14:textId="4F2491AF" w:rsidR="00E87078" w:rsidRDefault="00A978DF" w:rsidP="00E87078">
      <w:pPr>
        <w:spacing w:line="360" w:lineRule="auto"/>
        <w:ind w:left="720" w:hanging="720"/>
        <w:rPr>
          <w:b/>
        </w:rPr>
      </w:pPr>
      <w:r>
        <w:rPr>
          <w:b/>
        </w:rPr>
        <w:t>IV.</w:t>
      </w:r>
      <w:r>
        <w:rPr>
          <w:b/>
        </w:rPr>
        <w:tab/>
        <w:t xml:space="preserve">Safety </w:t>
      </w:r>
      <w:r w:rsidR="000C73FF">
        <w:rPr>
          <w:b/>
        </w:rPr>
        <w:t>Planning</w:t>
      </w:r>
      <w:r w:rsidR="00E87078">
        <w:rPr>
          <w:b/>
        </w:rPr>
        <w:t xml:space="preserve"> </w:t>
      </w:r>
    </w:p>
    <w:p w14:paraId="5192EF7D" w14:textId="77777777" w:rsidR="00E87078" w:rsidRDefault="00E87078" w:rsidP="00E87078">
      <w:pPr>
        <w:spacing w:line="360" w:lineRule="auto"/>
        <w:ind w:left="720" w:hanging="720"/>
        <w:rPr>
          <w:b/>
        </w:rPr>
      </w:pPr>
    </w:p>
    <w:p w14:paraId="26E4F144" w14:textId="7F17D481" w:rsidR="00A978DF" w:rsidRPr="00E87078" w:rsidRDefault="00225855" w:rsidP="00E87078">
      <w:pPr>
        <w:pStyle w:val="ListParagraph"/>
        <w:numPr>
          <w:ilvl w:val="0"/>
          <w:numId w:val="47"/>
        </w:numPr>
        <w:spacing w:line="360" w:lineRule="auto"/>
        <w:rPr>
          <w:b/>
        </w:rPr>
      </w:pPr>
      <w:r w:rsidRPr="00E87078">
        <w:rPr>
          <w:b/>
        </w:rPr>
        <w:t>How will patient safety be prioritized and monitored? Will you utilize vital signs, physical examinations, laboratory data, etc.? Include all steps that will be taken to promote and monitor patient safety.</w:t>
      </w:r>
    </w:p>
    <w:p w14:paraId="2A1CB476" w14:textId="2F119B27" w:rsidR="00225855" w:rsidRDefault="00225855" w:rsidP="00E87078">
      <w:pPr>
        <w:pStyle w:val="ListParagraph"/>
        <w:spacing w:line="360" w:lineRule="auto"/>
        <w:rPr>
          <w:rFonts w:ascii="Candara" w:hAnsi="Candara"/>
        </w:rPr>
      </w:pPr>
      <w:r w:rsidRPr="00E87078">
        <w:rPr>
          <w:rFonts w:ascii="Candara" w:hAnsi="Candara"/>
        </w:rPr>
        <w:t>Response:</w:t>
      </w:r>
    </w:p>
    <w:p w14:paraId="0CFA7B5C" w14:textId="77777777" w:rsidR="00E87078" w:rsidRDefault="00E87078" w:rsidP="00E87078">
      <w:pPr>
        <w:pStyle w:val="ListParagraph"/>
        <w:spacing w:line="360" w:lineRule="auto"/>
        <w:rPr>
          <w:rFonts w:ascii="Candara" w:hAnsi="Candara"/>
        </w:rPr>
      </w:pPr>
    </w:p>
    <w:p w14:paraId="005B2FF3" w14:textId="072849BF" w:rsidR="00E87078" w:rsidRDefault="00B3241C" w:rsidP="00B3241C">
      <w:pPr>
        <w:pStyle w:val="ListParagraph"/>
        <w:numPr>
          <w:ilvl w:val="0"/>
          <w:numId w:val="47"/>
        </w:numPr>
        <w:spacing w:line="360" w:lineRule="auto"/>
        <w:rPr>
          <w:rFonts w:cs="Times New Roman"/>
          <w:b/>
        </w:rPr>
      </w:pPr>
      <w:r w:rsidRPr="00B3241C">
        <w:rPr>
          <w:rFonts w:cs="Times New Roman"/>
          <w:b/>
        </w:rPr>
        <w:t>Describe any</w:t>
      </w:r>
      <w:r>
        <w:rPr>
          <w:rFonts w:cs="Times New Roman"/>
          <w:b/>
        </w:rPr>
        <w:t xml:space="preserve"> and all</w:t>
      </w:r>
      <w:r w:rsidRPr="00B3241C">
        <w:rPr>
          <w:rFonts w:cs="Times New Roman"/>
          <w:b/>
        </w:rPr>
        <w:t xml:space="preserve"> plans </w:t>
      </w:r>
      <w:r w:rsidR="00B06E6A">
        <w:rPr>
          <w:rFonts w:cs="Times New Roman"/>
          <w:b/>
        </w:rPr>
        <w:t>and</w:t>
      </w:r>
      <w:r w:rsidRPr="00B3241C">
        <w:rPr>
          <w:rFonts w:cs="Times New Roman"/>
          <w:b/>
        </w:rPr>
        <w:t xml:space="preserve"> procedures for </w:t>
      </w:r>
      <w:r>
        <w:rPr>
          <w:rFonts w:cs="Times New Roman"/>
          <w:b/>
        </w:rPr>
        <w:t>responding to</w:t>
      </w:r>
      <w:r w:rsidRPr="00B3241C">
        <w:rPr>
          <w:rFonts w:cs="Times New Roman"/>
          <w:b/>
        </w:rPr>
        <w:t xml:space="preserve"> medical emergencies that might develop during the course of the </w:t>
      </w:r>
      <w:r w:rsidR="00B06E6A">
        <w:rPr>
          <w:rFonts w:cs="Times New Roman"/>
          <w:b/>
        </w:rPr>
        <w:t>Research Project</w:t>
      </w:r>
      <w:r w:rsidRPr="00B3241C">
        <w:rPr>
          <w:rFonts w:cs="Times New Roman"/>
          <w:b/>
        </w:rPr>
        <w:t>.</w:t>
      </w:r>
    </w:p>
    <w:p w14:paraId="313E3165" w14:textId="39F9C496" w:rsidR="00B3241C" w:rsidRPr="00B3241C" w:rsidRDefault="00B3241C" w:rsidP="00B3241C">
      <w:pPr>
        <w:pStyle w:val="ListParagraph"/>
        <w:spacing w:line="360" w:lineRule="auto"/>
        <w:rPr>
          <w:rFonts w:ascii="Candara" w:hAnsi="Candara" w:cs="Times New Roman"/>
        </w:rPr>
      </w:pPr>
      <w:r w:rsidRPr="00B3241C">
        <w:rPr>
          <w:rFonts w:ascii="Candara" w:hAnsi="Candara" w:cs="Times New Roman"/>
        </w:rPr>
        <w:t xml:space="preserve">Response: </w:t>
      </w:r>
    </w:p>
    <w:p w14:paraId="06C599A3" w14:textId="77777777" w:rsidR="00225855" w:rsidRPr="00B3241C" w:rsidRDefault="00225855" w:rsidP="00B3241C">
      <w:pPr>
        <w:spacing w:line="360" w:lineRule="auto"/>
        <w:rPr>
          <w:rFonts w:ascii="Candara" w:hAnsi="Candara"/>
        </w:rPr>
      </w:pPr>
    </w:p>
    <w:p w14:paraId="2548B903" w14:textId="349B80F2" w:rsidR="00673811" w:rsidRPr="006774FF" w:rsidRDefault="006774FF" w:rsidP="006774FF">
      <w:pPr>
        <w:jc w:val="center"/>
        <w:rPr>
          <w:rFonts w:cs="Times New Roman"/>
          <w:b/>
          <w:u w:val="single"/>
        </w:rPr>
      </w:pPr>
      <w:r w:rsidRPr="006774FF">
        <w:rPr>
          <w:rFonts w:cs="Times New Roman"/>
          <w:b/>
          <w:u w:val="single"/>
        </w:rPr>
        <w:t>Part B: Safety Management</w:t>
      </w:r>
    </w:p>
    <w:p w14:paraId="71EE5B90" w14:textId="77777777" w:rsidR="00673811" w:rsidRDefault="00673811" w:rsidP="00673811">
      <w:pPr>
        <w:jc w:val="center"/>
        <w:rPr>
          <w:b/>
        </w:rPr>
      </w:pPr>
    </w:p>
    <w:p w14:paraId="1CCA9E4D" w14:textId="670BECCF" w:rsidR="009C16F3" w:rsidRDefault="00A00250" w:rsidP="00673811">
      <w:pPr>
        <w:rPr>
          <w:b/>
        </w:rPr>
      </w:pPr>
      <w:r>
        <w:rPr>
          <w:b/>
        </w:rPr>
        <w:t>Part B</w:t>
      </w:r>
      <w:r w:rsidR="00673811">
        <w:rPr>
          <w:b/>
        </w:rPr>
        <w:t xml:space="preserve"> is an explanation of safety management</w:t>
      </w:r>
      <w:r>
        <w:rPr>
          <w:b/>
        </w:rPr>
        <w:t>, including important</w:t>
      </w:r>
      <w:r w:rsidR="00673811">
        <w:rPr>
          <w:b/>
        </w:rPr>
        <w:t xml:space="preserve"> definitions and processes.  </w:t>
      </w:r>
    </w:p>
    <w:p w14:paraId="1F8286C8" w14:textId="77777777" w:rsidR="009C16F3" w:rsidRDefault="009C16F3" w:rsidP="00673811">
      <w:pPr>
        <w:rPr>
          <w:b/>
        </w:rPr>
      </w:pPr>
    </w:p>
    <w:p w14:paraId="603B9B59" w14:textId="280563DC" w:rsidR="00673811" w:rsidRDefault="00673811" w:rsidP="00673811">
      <w:pPr>
        <w:rPr>
          <w:b/>
        </w:rPr>
      </w:pPr>
      <w:r>
        <w:rPr>
          <w:b/>
        </w:rPr>
        <w:t xml:space="preserve">Please </w:t>
      </w:r>
      <w:r w:rsidR="00A00250">
        <w:rPr>
          <w:b/>
        </w:rPr>
        <w:t>read carefully,</w:t>
      </w:r>
      <w:r>
        <w:rPr>
          <w:b/>
        </w:rPr>
        <w:t xml:space="preserve"> keep </w:t>
      </w:r>
      <w:r w:rsidR="00A00250" w:rsidRPr="005E08EF">
        <w:rPr>
          <w:b/>
          <w:i/>
        </w:rPr>
        <w:t>a copy</w:t>
      </w:r>
      <w:r w:rsidR="00A00250">
        <w:rPr>
          <w:b/>
        </w:rPr>
        <w:t xml:space="preserve"> for your</w:t>
      </w:r>
      <w:r>
        <w:rPr>
          <w:b/>
        </w:rPr>
        <w:t xml:space="preserve"> records</w:t>
      </w:r>
      <w:r w:rsidR="00A00250">
        <w:rPr>
          <w:b/>
        </w:rPr>
        <w:t>,</w:t>
      </w:r>
      <w:r>
        <w:rPr>
          <w:b/>
        </w:rPr>
        <w:t xml:space="preserve"> and refer to them if necessary in order to follow proper protocol should that become necessary.</w:t>
      </w:r>
    </w:p>
    <w:p w14:paraId="3CE2E01D" w14:textId="77777777" w:rsidR="009C16F3" w:rsidRDefault="009C16F3" w:rsidP="00673811">
      <w:pPr>
        <w:rPr>
          <w:b/>
        </w:rPr>
      </w:pPr>
    </w:p>
    <w:p w14:paraId="69C37EDE" w14:textId="39827DBD" w:rsidR="00673811" w:rsidRDefault="001201DE" w:rsidP="00673811">
      <w:pPr>
        <w:rPr>
          <w:b/>
        </w:rPr>
      </w:pPr>
      <w:r>
        <w:rPr>
          <w:b/>
        </w:rPr>
        <w:t>This copy of Part B is to be initialed by the Princip</w:t>
      </w:r>
      <w:r w:rsidR="003556A5">
        <w:rPr>
          <w:b/>
        </w:rPr>
        <w:t>al In</w:t>
      </w:r>
      <w:r w:rsidR="005E08EF">
        <w:rPr>
          <w:b/>
        </w:rPr>
        <w:t>vestigator (PI) beside all six</w:t>
      </w:r>
      <w:r w:rsidR="003556A5">
        <w:rPr>
          <w:b/>
        </w:rPr>
        <w:t xml:space="preserve"> </w:t>
      </w:r>
      <w:r>
        <w:rPr>
          <w:b/>
        </w:rPr>
        <w:t>numeral</w:t>
      </w:r>
      <w:r w:rsidR="003556A5">
        <w:rPr>
          <w:b/>
        </w:rPr>
        <w:t>s</w:t>
      </w:r>
      <w:r w:rsidR="00F2322E">
        <w:rPr>
          <w:b/>
        </w:rPr>
        <w:t xml:space="preserve"> – indicating that the PI has read and understood its contents – </w:t>
      </w:r>
      <w:r w:rsidR="00982463">
        <w:rPr>
          <w:b/>
        </w:rPr>
        <w:t>then submitted with Part A</w:t>
      </w:r>
      <w:r>
        <w:rPr>
          <w:b/>
        </w:rPr>
        <w:t>.</w:t>
      </w:r>
    </w:p>
    <w:p w14:paraId="0BE70D2D" w14:textId="4B5F1AA0" w:rsidR="00673811" w:rsidRPr="00A62CA2" w:rsidRDefault="00673811" w:rsidP="00673811">
      <w:pPr>
        <w:rPr>
          <w:rFonts w:cs="Times New Roman"/>
          <w:b/>
          <w:color w:val="0000FF"/>
        </w:rPr>
      </w:pPr>
      <w:r w:rsidRPr="00A62CA2">
        <w:rPr>
          <w:rFonts w:cs="Times New Roman"/>
          <w:b/>
          <w:color w:val="000000" w:themeColor="text1"/>
        </w:rPr>
        <w:t xml:space="preserve">  </w:t>
      </w:r>
    </w:p>
    <w:p w14:paraId="5C46B01E" w14:textId="77777777" w:rsidR="00E3243B" w:rsidRDefault="00E3243B" w:rsidP="00E3243B">
      <w:pPr>
        <w:pStyle w:val="ListParagraph"/>
        <w:rPr>
          <w:b/>
        </w:rPr>
      </w:pPr>
    </w:p>
    <w:p w14:paraId="5FF4540F" w14:textId="3B49A814" w:rsidR="004C768A" w:rsidRPr="004C768A" w:rsidRDefault="004C768A" w:rsidP="00E3243B">
      <w:pPr>
        <w:pStyle w:val="ListParagraph"/>
        <w:ind w:left="0"/>
        <w:rPr>
          <w:i/>
        </w:rPr>
      </w:pPr>
      <w:r w:rsidRPr="004C768A">
        <w:rPr>
          <w:b/>
          <w:i/>
        </w:rPr>
        <w:t>Initials</w:t>
      </w:r>
    </w:p>
    <w:p w14:paraId="13C1DEEF" w14:textId="77777777" w:rsidR="004C768A" w:rsidRDefault="004C768A" w:rsidP="00E3243B">
      <w:pPr>
        <w:pStyle w:val="ListParagraph"/>
        <w:ind w:left="0"/>
        <w:rPr>
          <w:b/>
        </w:rPr>
      </w:pPr>
    </w:p>
    <w:p w14:paraId="766BD6A5" w14:textId="30F07A96" w:rsidR="00673811" w:rsidRPr="00BC7E70" w:rsidRDefault="004C768A" w:rsidP="00E3243B">
      <w:pPr>
        <w:pStyle w:val="ListParagraph"/>
        <w:ind w:left="0"/>
        <w:rPr>
          <w:b/>
        </w:rPr>
      </w:pPr>
      <w:r>
        <w:rPr>
          <w:b/>
        </w:rPr>
        <w:t xml:space="preserve">_______ I. </w:t>
      </w:r>
      <w:r w:rsidR="00673811">
        <w:rPr>
          <w:b/>
        </w:rPr>
        <w:t>Clinical Adverse Events (AE)</w:t>
      </w:r>
    </w:p>
    <w:p w14:paraId="22167825" w14:textId="77777777" w:rsidR="00673811" w:rsidRDefault="00673811" w:rsidP="00673811"/>
    <w:p w14:paraId="530BF530" w14:textId="77777777" w:rsidR="00673811" w:rsidRDefault="00673811" w:rsidP="00673811">
      <w:pPr>
        <w:rPr>
          <w:rFonts w:cs="Times New Roman"/>
        </w:rPr>
      </w:pPr>
      <w:r>
        <w:rPr>
          <w:rFonts w:cs="Times New Roman"/>
        </w:rPr>
        <w:t>Clinical AEs</w:t>
      </w:r>
      <w:r w:rsidRPr="00386ADE">
        <w:rPr>
          <w:rFonts w:cs="Times New Roman"/>
        </w:rPr>
        <w:t xml:space="preserve"> </w:t>
      </w:r>
      <w:r>
        <w:rPr>
          <w:rFonts w:cs="Times New Roman"/>
        </w:rPr>
        <w:t>are to be monitored by the PI throughout a</w:t>
      </w:r>
      <w:r w:rsidRPr="00386ADE">
        <w:rPr>
          <w:rFonts w:cs="Times New Roman"/>
        </w:rPr>
        <w:t xml:space="preserve"> study. </w:t>
      </w:r>
    </w:p>
    <w:p w14:paraId="0CCA12CC" w14:textId="77777777" w:rsidR="00673811" w:rsidRDefault="00673811" w:rsidP="00673811">
      <w:pPr>
        <w:rPr>
          <w:rFonts w:cs="Times New Roman"/>
        </w:rPr>
      </w:pPr>
    </w:p>
    <w:p w14:paraId="3F3FE637" w14:textId="149B994C" w:rsidR="00673811" w:rsidRPr="00BE2233" w:rsidRDefault="004C768A" w:rsidP="00673811">
      <w:pPr>
        <w:rPr>
          <w:rFonts w:cs="Times New Roman"/>
          <w:b/>
        </w:rPr>
      </w:pPr>
      <w:r>
        <w:rPr>
          <w:rFonts w:cs="Times New Roman"/>
          <w:b/>
        </w:rPr>
        <w:lastRenderedPageBreak/>
        <w:t xml:space="preserve">_______ II. </w:t>
      </w:r>
      <w:r w:rsidR="00673811">
        <w:rPr>
          <w:rFonts w:cs="Times New Roman"/>
          <w:b/>
        </w:rPr>
        <w:t>Adverse Event Reporting</w:t>
      </w:r>
    </w:p>
    <w:p w14:paraId="116F981C" w14:textId="77777777" w:rsidR="00673811" w:rsidRDefault="00673811" w:rsidP="00673811"/>
    <w:p w14:paraId="012B32A2" w14:textId="60DD7D25" w:rsidR="00673811" w:rsidRPr="004A3F92" w:rsidRDefault="00673811" w:rsidP="00673811">
      <w:pPr>
        <w:rPr>
          <w:rFonts w:cs="Times New Roman"/>
          <w:color w:val="0000FF"/>
        </w:rPr>
      </w:pPr>
      <w:r w:rsidRPr="00390C37">
        <w:rPr>
          <w:rFonts w:cs="Times New Roman"/>
          <w:color w:val="000000" w:themeColor="text1"/>
        </w:rPr>
        <w:t xml:space="preserve">The </w:t>
      </w:r>
      <w:r>
        <w:rPr>
          <w:rFonts w:cs="Times New Roman"/>
          <w:color w:val="000000" w:themeColor="text1"/>
        </w:rPr>
        <w:t>PI</w:t>
      </w:r>
      <w:r w:rsidRPr="00390C37">
        <w:rPr>
          <w:rFonts w:cs="Times New Roman"/>
          <w:color w:val="000000" w:themeColor="text1"/>
        </w:rPr>
        <w:t xml:space="preserve"> is responsible for recording and reporting unanticipated problems related to research that occur during and after study treatment.  </w:t>
      </w:r>
      <w:r>
        <w:rPr>
          <w:rFonts w:cs="Times New Roman"/>
        </w:rPr>
        <w:t xml:space="preserve">Serious adverse effects (SAE) </w:t>
      </w:r>
      <w:r w:rsidRPr="009F6697">
        <w:rPr>
          <w:rFonts w:cs="Times New Roman"/>
        </w:rPr>
        <w:t>will be</w:t>
      </w:r>
      <w:r w:rsidRPr="00A916A8">
        <w:rPr>
          <w:rFonts w:cs="Times New Roman"/>
          <w:color w:val="FF0000"/>
        </w:rPr>
        <w:t xml:space="preserve"> </w:t>
      </w:r>
      <w:r>
        <w:rPr>
          <w:rFonts w:cs="Times New Roman"/>
        </w:rPr>
        <w:t xml:space="preserve">reported.  </w:t>
      </w:r>
      <w:r w:rsidRPr="00390C37">
        <w:rPr>
          <w:rFonts w:cs="Times New Roman"/>
          <w:color w:val="000000" w:themeColor="text1"/>
        </w:rPr>
        <w:t>It is noted that “All on-site SAEs or related sites will be reported to the IRB in accordance with IRB policies. AEs that are not serious will be summarized in narrative or other format and submitted to the IRB at</w:t>
      </w:r>
      <w:r w:rsidR="0045663D">
        <w:rPr>
          <w:rFonts w:cs="Times New Roman"/>
          <w:color w:val="000000" w:themeColor="text1"/>
        </w:rPr>
        <w:t xml:space="preserve"> the time of continuing review”.</w:t>
      </w:r>
    </w:p>
    <w:p w14:paraId="714216C3" w14:textId="77777777" w:rsidR="00673811" w:rsidRPr="00386ADE" w:rsidRDefault="00673811" w:rsidP="00673811">
      <w:pPr>
        <w:rPr>
          <w:rFonts w:cs="Times New Roman"/>
          <w:color w:val="0000FF"/>
        </w:rPr>
      </w:pPr>
    </w:p>
    <w:p w14:paraId="01E0D83F" w14:textId="77777777" w:rsidR="009F6697" w:rsidRPr="009F6697" w:rsidRDefault="00673811" w:rsidP="00673811">
      <w:pPr>
        <w:rPr>
          <w:rFonts w:cs="Times New Roman"/>
        </w:rPr>
      </w:pPr>
      <w:r w:rsidRPr="009F6697">
        <w:rPr>
          <w:rFonts w:cs="Times New Roman"/>
        </w:rPr>
        <w:t xml:space="preserve">When study procedures are not greater than minimal risk, SAEs are not expected.  If any unanticipated problems related to the research involving risks to subjects or others happen during the course of a study (including SAEs), these will be reported to the IRB in accordance with IRB guidelines.  </w:t>
      </w:r>
    </w:p>
    <w:p w14:paraId="03CA70F6" w14:textId="77777777" w:rsidR="009F6697" w:rsidRDefault="009F6697" w:rsidP="00673811">
      <w:pPr>
        <w:rPr>
          <w:rFonts w:cs="Times New Roman"/>
          <w:color w:val="FF0000"/>
        </w:rPr>
      </w:pPr>
    </w:p>
    <w:p w14:paraId="0F70339A" w14:textId="76CBCED3" w:rsidR="00673811" w:rsidRPr="009F6697" w:rsidRDefault="00673811" w:rsidP="00673811">
      <w:pPr>
        <w:rPr>
          <w:rFonts w:cs="Times New Roman"/>
        </w:rPr>
      </w:pPr>
      <w:r w:rsidRPr="009F6697">
        <w:rPr>
          <w:rFonts w:cs="Times New Roman"/>
        </w:rPr>
        <w:t xml:space="preserve">Unanticipated Problems Involving Risks to Subjects.  AEs that are not serious, but that are notable and could involve risks to subjects will be summarized in narrative or other clear format and submitted to the IRB at the time of continuing review. </w:t>
      </w:r>
    </w:p>
    <w:p w14:paraId="3054B30E" w14:textId="77777777" w:rsidR="004C768A" w:rsidRDefault="004C768A" w:rsidP="004C768A">
      <w:pPr>
        <w:pStyle w:val="ListParagraph"/>
      </w:pPr>
    </w:p>
    <w:p w14:paraId="1E448823" w14:textId="2D5A5FFB" w:rsidR="00673811" w:rsidRPr="004C768A" w:rsidRDefault="004C768A" w:rsidP="004C768A">
      <w:pPr>
        <w:pStyle w:val="ListParagraph"/>
        <w:ind w:left="0"/>
        <w:rPr>
          <w:b/>
        </w:rPr>
      </w:pPr>
      <w:r w:rsidRPr="004C768A">
        <w:rPr>
          <w:b/>
        </w:rPr>
        <w:t xml:space="preserve">_______ III. </w:t>
      </w:r>
      <w:r w:rsidR="00673811" w:rsidRPr="004C768A">
        <w:rPr>
          <w:b/>
        </w:rPr>
        <w:t>Definition of an Adverse Event (AE), what to report, and where to report</w:t>
      </w:r>
    </w:p>
    <w:p w14:paraId="46275EB0" w14:textId="77777777" w:rsidR="00673811" w:rsidRDefault="00673811" w:rsidP="00673811"/>
    <w:p w14:paraId="6F6853B6" w14:textId="77777777" w:rsidR="00673811" w:rsidRDefault="00673811" w:rsidP="00673811">
      <w:pPr>
        <w:rPr>
          <w:rFonts w:cs="Times New Roman"/>
        </w:rPr>
      </w:pPr>
      <w:r w:rsidRPr="00386ADE">
        <w:rPr>
          <w:rFonts w:cs="Times New Roman"/>
        </w:rPr>
        <w:t xml:space="preserve">An adverse event </w:t>
      </w:r>
      <w:r>
        <w:rPr>
          <w:rFonts w:cs="Times New Roman"/>
        </w:rPr>
        <w:t xml:space="preserve">(AE) </w:t>
      </w:r>
      <w:r w:rsidRPr="00386ADE">
        <w:rPr>
          <w:rFonts w:cs="Times New Roman"/>
        </w:rPr>
        <w:t>is any untoward medical occurrence in a subject who has received an intervention (drug, biologic, or other intervention).  The occurrence does not necessarily have to have a causal relationship with the treatment.  An AE can therefore be any unfavorable or unintended sign (</w:t>
      </w:r>
      <w:r>
        <w:rPr>
          <w:rFonts w:cs="Times New Roman"/>
        </w:rPr>
        <w:t xml:space="preserve">e.g., </w:t>
      </w:r>
      <w:r w:rsidRPr="00386ADE">
        <w:rPr>
          <w:rFonts w:cs="Times New Roman"/>
        </w:rPr>
        <w:t>an abnormal laboratory findi</w:t>
      </w:r>
      <w:r>
        <w:rPr>
          <w:rFonts w:cs="Times New Roman"/>
        </w:rPr>
        <w:t>ng</w:t>
      </w:r>
      <w:r w:rsidRPr="00386ADE">
        <w:rPr>
          <w:rFonts w:cs="Times New Roman"/>
        </w:rPr>
        <w:t>), symptom, or disease temporally associated with the use of a medicinal product, whether or not considered related to the medicinal product.</w:t>
      </w:r>
    </w:p>
    <w:p w14:paraId="10605BCA" w14:textId="77777777" w:rsidR="00673811" w:rsidRPr="00386ADE" w:rsidRDefault="00673811" w:rsidP="00673811">
      <w:pPr>
        <w:rPr>
          <w:rFonts w:cs="Times New Roman"/>
        </w:rPr>
      </w:pPr>
    </w:p>
    <w:p w14:paraId="5BAE12CC" w14:textId="33D76BFE" w:rsidR="00673811" w:rsidRDefault="00673811" w:rsidP="00673811">
      <w:pPr>
        <w:rPr>
          <w:rFonts w:cs="Times New Roman"/>
        </w:rPr>
      </w:pPr>
      <w:r>
        <w:rPr>
          <w:rFonts w:cs="Times New Roman"/>
        </w:rPr>
        <w:t xml:space="preserve">All AEs </w:t>
      </w:r>
      <w:r w:rsidRPr="00386ADE">
        <w:rPr>
          <w:rFonts w:cs="Times New Roman"/>
        </w:rPr>
        <w:t xml:space="preserve">will </w:t>
      </w:r>
      <w:r>
        <w:rPr>
          <w:rFonts w:cs="Times New Roman"/>
        </w:rPr>
        <w:t>be reported to the institution</w:t>
      </w:r>
      <w:r w:rsidR="00702C3B">
        <w:rPr>
          <w:rFonts w:cs="Times New Roman"/>
        </w:rPr>
        <w:t>’</w:t>
      </w:r>
      <w:r>
        <w:rPr>
          <w:rFonts w:cs="Times New Roman"/>
        </w:rPr>
        <w:t>s IRB</w:t>
      </w:r>
      <w:r w:rsidR="00702C3B">
        <w:rPr>
          <w:rFonts w:cs="Times New Roman"/>
        </w:rPr>
        <w:t xml:space="preserve"> (see </w:t>
      </w:r>
      <w:r w:rsidR="00F80842">
        <w:rPr>
          <w:rFonts w:cs="Times New Roman"/>
        </w:rPr>
        <w:t xml:space="preserve">subsection </w:t>
      </w:r>
      <w:r w:rsidR="00702C3B">
        <w:rPr>
          <w:rFonts w:cs="Times New Roman"/>
        </w:rPr>
        <w:t>V)</w:t>
      </w:r>
      <w:r>
        <w:rPr>
          <w:rFonts w:cs="Times New Roman"/>
        </w:rPr>
        <w:t xml:space="preserve"> and noted </w:t>
      </w:r>
      <w:r w:rsidRPr="00386ADE">
        <w:rPr>
          <w:rFonts w:cs="Times New Roman"/>
        </w:rPr>
        <w:t>in the study records</w:t>
      </w:r>
      <w:r w:rsidR="00702C3B">
        <w:rPr>
          <w:rFonts w:cs="Times New Roman"/>
        </w:rPr>
        <w:t xml:space="preserve"> and</w:t>
      </w:r>
      <w:r w:rsidRPr="00386ADE">
        <w:rPr>
          <w:rFonts w:cs="Times New Roman"/>
        </w:rPr>
        <w:t xml:space="preserve"> </w:t>
      </w:r>
      <w:r w:rsidR="004A3F92">
        <w:rPr>
          <w:rFonts w:cs="Times New Roman"/>
        </w:rPr>
        <w:t>any other required documents</w:t>
      </w:r>
      <w:r>
        <w:rPr>
          <w:rFonts w:cs="Times New Roman"/>
        </w:rPr>
        <w:t xml:space="preserve">.  Include </w:t>
      </w:r>
    </w:p>
    <w:p w14:paraId="401401B6" w14:textId="77777777" w:rsidR="00673811" w:rsidRDefault="00673811" w:rsidP="00673811">
      <w:pPr>
        <w:pStyle w:val="ListParagraph"/>
        <w:numPr>
          <w:ilvl w:val="0"/>
          <w:numId w:val="31"/>
        </w:numPr>
        <w:rPr>
          <w:rFonts w:cs="Times New Roman"/>
        </w:rPr>
      </w:pPr>
      <w:r>
        <w:rPr>
          <w:rFonts w:cs="Times New Roman"/>
        </w:rPr>
        <w:t>the nature on the onset,</w:t>
      </w:r>
    </w:p>
    <w:p w14:paraId="5A9288A5" w14:textId="77777777" w:rsidR="00673811" w:rsidRDefault="00673811" w:rsidP="00673811">
      <w:pPr>
        <w:pStyle w:val="ListParagraph"/>
        <w:numPr>
          <w:ilvl w:val="0"/>
          <w:numId w:val="31"/>
        </w:numPr>
        <w:rPr>
          <w:rFonts w:cs="Times New Roman"/>
        </w:rPr>
      </w:pPr>
      <w:r w:rsidRPr="006509BC">
        <w:rPr>
          <w:rFonts w:cs="Times New Roman"/>
        </w:rPr>
        <w:t xml:space="preserve">date and time of onset, </w:t>
      </w:r>
    </w:p>
    <w:p w14:paraId="42910080" w14:textId="77777777" w:rsidR="00673811" w:rsidRDefault="00673811" w:rsidP="00673811">
      <w:pPr>
        <w:pStyle w:val="ListParagraph"/>
        <w:numPr>
          <w:ilvl w:val="0"/>
          <w:numId w:val="31"/>
        </w:numPr>
        <w:rPr>
          <w:rFonts w:cs="Times New Roman"/>
        </w:rPr>
      </w:pPr>
      <w:r w:rsidRPr="006509BC">
        <w:rPr>
          <w:rFonts w:cs="Times New Roman"/>
        </w:rPr>
        <w:t>determination of non-serious versus serious</w:t>
      </w:r>
      <w:r>
        <w:rPr>
          <w:rFonts w:cs="Times New Roman"/>
        </w:rPr>
        <w:t xml:space="preserve"> adverse effects</w:t>
      </w:r>
      <w:r w:rsidRPr="006509BC">
        <w:rPr>
          <w:rFonts w:cs="Times New Roman"/>
        </w:rPr>
        <w:t xml:space="preserve">, </w:t>
      </w:r>
    </w:p>
    <w:p w14:paraId="4FCD112E" w14:textId="77777777" w:rsidR="00673811" w:rsidRDefault="00673811" w:rsidP="00673811">
      <w:pPr>
        <w:pStyle w:val="ListParagraph"/>
        <w:numPr>
          <w:ilvl w:val="0"/>
          <w:numId w:val="31"/>
        </w:numPr>
        <w:rPr>
          <w:rFonts w:cs="Times New Roman"/>
        </w:rPr>
      </w:pPr>
      <w:r w:rsidRPr="006509BC">
        <w:rPr>
          <w:rFonts w:cs="Times New Roman"/>
        </w:rPr>
        <w:t>intensity (mild, moderate, severe)</w:t>
      </w:r>
      <w:r>
        <w:rPr>
          <w:rFonts w:cs="Times New Roman"/>
        </w:rPr>
        <w:t xml:space="preserve"> of adverse effects</w:t>
      </w:r>
      <w:r w:rsidRPr="006509BC">
        <w:rPr>
          <w:rFonts w:cs="Times New Roman"/>
        </w:rPr>
        <w:t xml:space="preserve">, </w:t>
      </w:r>
    </w:p>
    <w:p w14:paraId="0918F405" w14:textId="77777777" w:rsidR="00673811" w:rsidRDefault="00673811" w:rsidP="00673811">
      <w:pPr>
        <w:pStyle w:val="ListParagraph"/>
        <w:numPr>
          <w:ilvl w:val="0"/>
          <w:numId w:val="31"/>
        </w:numPr>
        <w:rPr>
          <w:rFonts w:cs="Times New Roman"/>
        </w:rPr>
      </w:pPr>
      <w:r w:rsidRPr="006509BC">
        <w:rPr>
          <w:rFonts w:cs="Times New Roman"/>
        </w:rPr>
        <w:t xml:space="preserve">duration, </w:t>
      </w:r>
    </w:p>
    <w:p w14:paraId="1D562348" w14:textId="77777777" w:rsidR="00673811" w:rsidRDefault="00673811" w:rsidP="00673811">
      <w:pPr>
        <w:pStyle w:val="ListParagraph"/>
        <w:numPr>
          <w:ilvl w:val="0"/>
          <w:numId w:val="31"/>
        </w:numPr>
        <w:rPr>
          <w:rFonts w:cs="Times New Roman"/>
        </w:rPr>
      </w:pPr>
      <w:r w:rsidRPr="006509BC">
        <w:rPr>
          <w:rFonts w:cs="Times New Roman"/>
        </w:rPr>
        <w:t xml:space="preserve">causality, and </w:t>
      </w:r>
    </w:p>
    <w:p w14:paraId="0C94553B" w14:textId="77777777" w:rsidR="00673811" w:rsidRPr="006509BC" w:rsidRDefault="00673811" w:rsidP="00673811">
      <w:pPr>
        <w:pStyle w:val="ListParagraph"/>
        <w:numPr>
          <w:ilvl w:val="0"/>
          <w:numId w:val="31"/>
        </w:numPr>
        <w:rPr>
          <w:rFonts w:cs="Times New Roman"/>
        </w:rPr>
      </w:pPr>
      <w:proofErr w:type="gramStart"/>
      <w:r w:rsidRPr="006509BC">
        <w:rPr>
          <w:rFonts w:cs="Times New Roman"/>
        </w:rPr>
        <w:t>outcome</w:t>
      </w:r>
      <w:proofErr w:type="gramEnd"/>
      <w:r w:rsidRPr="006509BC">
        <w:rPr>
          <w:rFonts w:cs="Times New Roman"/>
        </w:rPr>
        <w:t xml:space="preserve"> of the event.</w:t>
      </w:r>
    </w:p>
    <w:p w14:paraId="31966445" w14:textId="77777777" w:rsidR="00673811" w:rsidRDefault="00673811" w:rsidP="00673811"/>
    <w:p w14:paraId="71916881" w14:textId="6FEEB3A1" w:rsidR="00673811" w:rsidRDefault="004C768A" w:rsidP="004C768A">
      <w:pPr>
        <w:pStyle w:val="ListParagraph"/>
        <w:ind w:left="0"/>
        <w:rPr>
          <w:b/>
        </w:rPr>
      </w:pPr>
      <w:r>
        <w:rPr>
          <w:b/>
        </w:rPr>
        <w:t xml:space="preserve">_______ IV. </w:t>
      </w:r>
      <w:r w:rsidR="00673811">
        <w:rPr>
          <w:b/>
        </w:rPr>
        <w:t>Definition of a Serious Adverse Effect (SAE), what to report, and where to report</w:t>
      </w:r>
      <w:r>
        <w:rPr>
          <w:b/>
        </w:rPr>
        <w:t>.</w:t>
      </w:r>
    </w:p>
    <w:p w14:paraId="72631AF7" w14:textId="77777777" w:rsidR="00673811" w:rsidRPr="006509BC" w:rsidRDefault="00673811" w:rsidP="00673811">
      <w:pPr>
        <w:pStyle w:val="ListParagraph"/>
        <w:ind w:left="0"/>
      </w:pPr>
    </w:p>
    <w:p w14:paraId="5F0E6A8B" w14:textId="77777777" w:rsidR="00673811" w:rsidRDefault="00673811" w:rsidP="00673811">
      <w:pPr>
        <w:rPr>
          <w:rFonts w:cs="Times New Roman"/>
        </w:rPr>
      </w:pPr>
      <w:r w:rsidRPr="00386ADE">
        <w:rPr>
          <w:rFonts w:cs="Times New Roman"/>
        </w:rPr>
        <w:t xml:space="preserve">An SAE is any adverse drug experience occurring at any dose that results in any of the following outcomes: </w:t>
      </w:r>
    </w:p>
    <w:p w14:paraId="471A373A" w14:textId="77777777" w:rsidR="00673811" w:rsidRPr="00386ADE" w:rsidRDefault="00673811" w:rsidP="00673811">
      <w:pPr>
        <w:rPr>
          <w:rFonts w:cs="Times New Roman"/>
        </w:rPr>
      </w:pPr>
    </w:p>
    <w:p w14:paraId="53C59904" w14:textId="77777777" w:rsidR="00673811" w:rsidRPr="00386ADE" w:rsidRDefault="00673811" w:rsidP="00673811">
      <w:pPr>
        <w:pStyle w:val="ListBullet"/>
        <w:tabs>
          <w:tab w:val="clear" w:pos="360"/>
        </w:tabs>
        <w:spacing w:after="0" w:line="240" w:lineRule="auto"/>
        <w:ind w:left="720"/>
        <w:contextualSpacing w:val="0"/>
        <w:rPr>
          <w:rFonts w:ascii="Times New Roman" w:hAnsi="Times New Roman" w:cs="Times New Roman"/>
          <w:sz w:val="24"/>
          <w:szCs w:val="24"/>
        </w:rPr>
      </w:pPr>
      <w:r w:rsidRPr="00386ADE">
        <w:rPr>
          <w:rFonts w:ascii="Times New Roman" w:hAnsi="Times New Roman" w:cs="Times New Roman"/>
          <w:sz w:val="24"/>
          <w:szCs w:val="24"/>
        </w:rPr>
        <w:t>Death,</w:t>
      </w:r>
    </w:p>
    <w:p w14:paraId="5E8C0C56" w14:textId="77777777" w:rsidR="00673811" w:rsidRPr="00386ADE" w:rsidRDefault="00673811" w:rsidP="00673811">
      <w:pPr>
        <w:pStyle w:val="ListBullet"/>
        <w:tabs>
          <w:tab w:val="clear" w:pos="360"/>
        </w:tabs>
        <w:spacing w:after="0" w:line="240" w:lineRule="auto"/>
        <w:ind w:left="720"/>
        <w:contextualSpacing w:val="0"/>
        <w:rPr>
          <w:rFonts w:ascii="Times New Roman" w:hAnsi="Times New Roman" w:cs="Times New Roman"/>
          <w:sz w:val="24"/>
          <w:szCs w:val="24"/>
        </w:rPr>
      </w:pPr>
      <w:r w:rsidRPr="00386ADE">
        <w:rPr>
          <w:rFonts w:ascii="Times New Roman" w:hAnsi="Times New Roman" w:cs="Times New Roman"/>
          <w:sz w:val="24"/>
          <w:szCs w:val="24"/>
        </w:rPr>
        <w:t xml:space="preserve">A life-threatening event (at risk of death at the time of the event), </w:t>
      </w:r>
    </w:p>
    <w:p w14:paraId="3DC22FEF" w14:textId="77777777" w:rsidR="00673811" w:rsidRPr="00386ADE" w:rsidRDefault="00673811" w:rsidP="00673811">
      <w:pPr>
        <w:pStyle w:val="ListBullet"/>
        <w:tabs>
          <w:tab w:val="clear" w:pos="360"/>
        </w:tabs>
        <w:spacing w:after="0" w:line="240" w:lineRule="auto"/>
        <w:ind w:left="720"/>
        <w:contextualSpacing w:val="0"/>
        <w:rPr>
          <w:rFonts w:ascii="Times New Roman" w:hAnsi="Times New Roman" w:cs="Times New Roman"/>
          <w:sz w:val="24"/>
          <w:szCs w:val="24"/>
        </w:rPr>
      </w:pPr>
      <w:r w:rsidRPr="00386ADE">
        <w:rPr>
          <w:rFonts w:ascii="Times New Roman" w:hAnsi="Times New Roman" w:cs="Times New Roman"/>
          <w:sz w:val="24"/>
          <w:szCs w:val="24"/>
        </w:rPr>
        <w:lastRenderedPageBreak/>
        <w:t>Requires inpatient hospitalization or prolongation of existing hospitalization,</w:t>
      </w:r>
    </w:p>
    <w:p w14:paraId="5DB5C4DB" w14:textId="77777777" w:rsidR="00673811" w:rsidRPr="00386ADE" w:rsidRDefault="00673811" w:rsidP="00673811">
      <w:pPr>
        <w:pStyle w:val="ListBullet"/>
        <w:tabs>
          <w:tab w:val="clear" w:pos="360"/>
        </w:tabs>
        <w:spacing w:after="0" w:line="240" w:lineRule="auto"/>
        <w:ind w:left="720"/>
        <w:contextualSpacing w:val="0"/>
        <w:rPr>
          <w:rFonts w:ascii="Times New Roman" w:hAnsi="Times New Roman" w:cs="Times New Roman"/>
          <w:sz w:val="24"/>
          <w:szCs w:val="24"/>
        </w:rPr>
      </w:pPr>
      <w:r w:rsidRPr="00386ADE">
        <w:rPr>
          <w:rFonts w:ascii="Times New Roman" w:hAnsi="Times New Roman" w:cs="Times New Roman"/>
          <w:sz w:val="24"/>
          <w:szCs w:val="24"/>
        </w:rPr>
        <w:t>A persistent or significant disability/incapacity, or</w:t>
      </w:r>
    </w:p>
    <w:p w14:paraId="214DE804" w14:textId="77777777" w:rsidR="00673811" w:rsidRDefault="00673811" w:rsidP="00673811">
      <w:pPr>
        <w:pStyle w:val="ListBullet"/>
        <w:tabs>
          <w:tab w:val="clear" w:pos="360"/>
        </w:tabs>
        <w:spacing w:after="0" w:line="240" w:lineRule="auto"/>
        <w:ind w:left="720"/>
        <w:contextualSpacing w:val="0"/>
        <w:rPr>
          <w:rFonts w:ascii="Times New Roman" w:hAnsi="Times New Roman" w:cs="Times New Roman"/>
          <w:sz w:val="24"/>
          <w:szCs w:val="24"/>
        </w:rPr>
      </w:pPr>
      <w:r w:rsidRPr="00386ADE">
        <w:rPr>
          <w:rFonts w:ascii="Times New Roman" w:hAnsi="Times New Roman" w:cs="Times New Roman"/>
          <w:sz w:val="24"/>
          <w:szCs w:val="24"/>
        </w:rPr>
        <w:t xml:space="preserve">A congenital anomaly/birth defect in the offspring of a subject.  </w:t>
      </w:r>
    </w:p>
    <w:p w14:paraId="44CAAEDB" w14:textId="77777777" w:rsidR="00673811" w:rsidRPr="00386ADE" w:rsidRDefault="00673811" w:rsidP="00673811">
      <w:pPr>
        <w:pStyle w:val="ListBullet"/>
        <w:numPr>
          <w:ilvl w:val="0"/>
          <w:numId w:val="0"/>
        </w:numPr>
        <w:spacing w:after="0" w:line="240" w:lineRule="auto"/>
        <w:ind w:left="450"/>
        <w:contextualSpacing w:val="0"/>
        <w:rPr>
          <w:rFonts w:ascii="Times New Roman" w:hAnsi="Times New Roman" w:cs="Times New Roman"/>
          <w:sz w:val="24"/>
          <w:szCs w:val="24"/>
        </w:rPr>
      </w:pPr>
    </w:p>
    <w:p w14:paraId="2EA2D363" w14:textId="77777777" w:rsidR="00673811" w:rsidRDefault="00673811" w:rsidP="00673811">
      <w:pPr>
        <w:rPr>
          <w:rFonts w:cs="Times New Roman"/>
        </w:rPr>
      </w:pPr>
      <w:r w:rsidRPr="001E747C">
        <w:rPr>
          <w:rFonts w:cs="Times New Roman"/>
        </w:rPr>
        <w:t>Important medical events that may not result in death, but be life-threatening, or require hospitalization may be considered a serious adverse drug event when based upon appropriate medical judgment, they may jeopardize the subject and may require medical or surgical intervention to prevent one of the outcomes listed in this definition.</w:t>
      </w:r>
    </w:p>
    <w:p w14:paraId="37944FE9" w14:textId="77777777" w:rsidR="00673811" w:rsidRPr="00386ADE" w:rsidRDefault="00673811" w:rsidP="00673811">
      <w:pPr>
        <w:rPr>
          <w:rFonts w:cs="Times New Roman"/>
        </w:rPr>
      </w:pPr>
    </w:p>
    <w:p w14:paraId="4FCA7A68" w14:textId="642070B8" w:rsidR="00673811" w:rsidRPr="00F5756A" w:rsidRDefault="00673811" w:rsidP="00673811">
      <w:pPr>
        <w:rPr>
          <w:rFonts w:cs="Times New Roman"/>
        </w:rPr>
      </w:pPr>
      <w:r>
        <w:rPr>
          <w:rFonts w:cs="Times New Roman"/>
        </w:rPr>
        <w:t>A distinction should be made</w:t>
      </w:r>
      <w:r w:rsidRPr="00386ADE">
        <w:rPr>
          <w:rFonts w:cs="Times New Roman"/>
        </w:rPr>
        <w:t xml:space="preserve"> between </w:t>
      </w:r>
      <w:r w:rsidR="007E2EE4">
        <w:rPr>
          <w:rFonts w:cs="Times New Roman"/>
        </w:rPr>
        <w:t xml:space="preserve">a </w:t>
      </w:r>
      <w:r w:rsidRPr="00386ADE">
        <w:rPr>
          <w:rFonts w:cs="Times New Roman"/>
        </w:rPr>
        <w:t>serious</w:t>
      </w:r>
      <w:r w:rsidR="007E2EE4">
        <w:rPr>
          <w:rFonts w:cs="Times New Roman"/>
        </w:rPr>
        <w:t xml:space="preserve"> adverse effect (SAE)</w:t>
      </w:r>
      <w:r w:rsidRPr="00386ADE">
        <w:rPr>
          <w:rFonts w:cs="Times New Roman"/>
        </w:rPr>
        <w:t xml:space="preserve"> and</w:t>
      </w:r>
      <w:r w:rsidR="007E2EE4">
        <w:rPr>
          <w:rFonts w:cs="Times New Roman"/>
        </w:rPr>
        <w:t xml:space="preserve"> a </w:t>
      </w:r>
      <w:r w:rsidR="007E2EE4" w:rsidRPr="00D3710A">
        <w:rPr>
          <w:rFonts w:cs="Times New Roman"/>
          <w:i/>
        </w:rPr>
        <w:t>severe</w:t>
      </w:r>
      <w:r w:rsidR="007E2EE4">
        <w:rPr>
          <w:rFonts w:cs="Times New Roman"/>
        </w:rPr>
        <w:t xml:space="preserve"> adverse effect.  A </w:t>
      </w:r>
      <w:r w:rsidR="00D3710A">
        <w:rPr>
          <w:rFonts w:cs="Times New Roman"/>
        </w:rPr>
        <w:t>serious adverse effect (S</w:t>
      </w:r>
      <w:r w:rsidR="007E2EE4">
        <w:rPr>
          <w:rFonts w:cs="Times New Roman"/>
        </w:rPr>
        <w:t>AE</w:t>
      </w:r>
      <w:r w:rsidR="00D3710A">
        <w:rPr>
          <w:rFonts w:cs="Times New Roman"/>
        </w:rPr>
        <w:t>)</w:t>
      </w:r>
      <w:r w:rsidR="007E2EE4">
        <w:rPr>
          <w:rFonts w:cs="Times New Roman"/>
        </w:rPr>
        <w:t xml:space="preserve"> is a major event </w:t>
      </w:r>
      <w:r w:rsidR="004A3F92">
        <w:rPr>
          <w:rFonts w:cs="Times New Roman"/>
        </w:rPr>
        <w:t>as described above</w:t>
      </w:r>
      <w:r w:rsidRPr="00386ADE">
        <w:rPr>
          <w:rFonts w:cs="Times New Roman"/>
        </w:rPr>
        <w:t xml:space="preserve">.  A </w:t>
      </w:r>
      <w:r w:rsidRPr="00D3710A">
        <w:rPr>
          <w:rFonts w:cs="Times New Roman"/>
          <w:i/>
        </w:rPr>
        <w:t>severe</w:t>
      </w:r>
      <w:r w:rsidR="00D3710A">
        <w:rPr>
          <w:rFonts w:cs="Times New Roman"/>
        </w:rPr>
        <w:t xml:space="preserve"> adverse effect</w:t>
      </w:r>
      <w:r w:rsidRPr="00386ADE">
        <w:rPr>
          <w:rFonts w:cs="Times New Roman"/>
        </w:rPr>
        <w:t xml:space="preserve"> does not necessarily need to be considered serious</w:t>
      </w:r>
      <w:r w:rsidR="00D3710A">
        <w:rPr>
          <w:rFonts w:cs="Times New Roman"/>
        </w:rPr>
        <w:t>, i.e. N</w:t>
      </w:r>
      <w:r w:rsidRPr="00386ADE">
        <w:rPr>
          <w:rFonts w:cs="Times New Roman"/>
        </w:rPr>
        <w:t xml:space="preserve">ausea which persists for several hours may be considered </w:t>
      </w:r>
      <w:r w:rsidRPr="00D3710A">
        <w:rPr>
          <w:rFonts w:cs="Times New Roman"/>
          <w:i/>
        </w:rPr>
        <w:t>severe</w:t>
      </w:r>
      <w:r w:rsidRPr="00386ADE">
        <w:rPr>
          <w:rFonts w:cs="Times New Roman"/>
        </w:rPr>
        <w:t xml:space="preserve"> nausea</w:t>
      </w:r>
      <w:r w:rsidR="00D3710A">
        <w:rPr>
          <w:rFonts w:cs="Times New Roman"/>
        </w:rPr>
        <w:t xml:space="preserve"> but not a</w:t>
      </w:r>
      <w:r w:rsidRPr="00386ADE">
        <w:rPr>
          <w:rFonts w:cs="Times New Roman"/>
        </w:rPr>
        <w:t xml:space="preserve"> SAE</w:t>
      </w:r>
      <w:r w:rsidR="00D3710A">
        <w:rPr>
          <w:rFonts w:cs="Times New Roman"/>
        </w:rPr>
        <w:t>; however</w:t>
      </w:r>
      <w:r w:rsidRPr="00386ADE">
        <w:rPr>
          <w:rFonts w:cs="Times New Roman"/>
        </w:rPr>
        <w:t>, a stroke that results in only a limited degree of disability may be considered a mild stroke</w:t>
      </w:r>
      <w:r w:rsidR="00D3710A">
        <w:rPr>
          <w:rFonts w:cs="Times New Roman"/>
        </w:rPr>
        <w:t xml:space="preserve"> but </w:t>
      </w:r>
      <w:r w:rsidR="00C51FCA">
        <w:rPr>
          <w:rFonts w:cs="Times New Roman"/>
        </w:rPr>
        <w:t xml:space="preserve">is </w:t>
      </w:r>
      <w:r w:rsidR="00D3710A">
        <w:rPr>
          <w:rFonts w:cs="Times New Roman"/>
        </w:rPr>
        <w:t xml:space="preserve">quite obviously a </w:t>
      </w:r>
      <w:r w:rsidRPr="00386ADE">
        <w:rPr>
          <w:rFonts w:cs="Times New Roman"/>
        </w:rPr>
        <w:t xml:space="preserve">SAE. </w:t>
      </w:r>
    </w:p>
    <w:p w14:paraId="25C6BCAD" w14:textId="77777777" w:rsidR="00673811" w:rsidRDefault="00673811" w:rsidP="00673811">
      <w:pPr>
        <w:pStyle w:val="ListParagraph"/>
        <w:ind w:left="0"/>
      </w:pPr>
    </w:p>
    <w:p w14:paraId="54410AF8" w14:textId="1BA54F48" w:rsidR="00673811" w:rsidRDefault="00673811" w:rsidP="00673811">
      <w:pPr>
        <w:pStyle w:val="ListParagraph"/>
        <w:ind w:left="0"/>
        <w:rPr>
          <w:rFonts w:cs="Times New Roman"/>
        </w:rPr>
      </w:pPr>
      <w:r>
        <w:rPr>
          <w:rFonts w:cs="Times New Roman"/>
        </w:rPr>
        <w:t>All SAEs</w:t>
      </w:r>
      <w:r w:rsidRPr="00386ADE">
        <w:rPr>
          <w:rFonts w:cs="Times New Roman"/>
        </w:rPr>
        <w:t xml:space="preserve"> will </w:t>
      </w:r>
      <w:r>
        <w:rPr>
          <w:rFonts w:cs="Times New Roman"/>
        </w:rPr>
        <w:t>be reported to the institution</w:t>
      </w:r>
      <w:r w:rsidR="00F80842">
        <w:rPr>
          <w:rFonts w:cs="Times New Roman"/>
        </w:rPr>
        <w:t>’</w:t>
      </w:r>
      <w:r>
        <w:rPr>
          <w:rFonts w:cs="Times New Roman"/>
        </w:rPr>
        <w:t>s IRB</w:t>
      </w:r>
      <w:r w:rsidR="00F80842">
        <w:rPr>
          <w:rFonts w:cs="Times New Roman"/>
        </w:rPr>
        <w:t xml:space="preserve"> (see subsection V)</w:t>
      </w:r>
      <w:r>
        <w:rPr>
          <w:rFonts w:cs="Times New Roman"/>
        </w:rPr>
        <w:t xml:space="preserve">, and noted </w:t>
      </w:r>
      <w:r w:rsidRPr="00386ADE">
        <w:rPr>
          <w:rFonts w:cs="Times New Roman"/>
        </w:rPr>
        <w:t>in the study records</w:t>
      </w:r>
      <w:r>
        <w:rPr>
          <w:rFonts w:cs="Times New Roman"/>
        </w:rPr>
        <w:t>,</w:t>
      </w:r>
      <w:r w:rsidRPr="00386ADE">
        <w:rPr>
          <w:rFonts w:cs="Times New Roman"/>
        </w:rPr>
        <w:t xml:space="preserve"> and on the </w:t>
      </w:r>
      <w:r w:rsidRPr="001E747C">
        <w:rPr>
          <w:rFonts w:cs="Times New Roman"/>
        </w:rPr>
        <w:t>case report form</w:t>
      </w:r>
      <w:r>
        <w:rPr>
          <w:rFonts w:cs="Times New Roman"/>
        </w:rPr>
        <w:t xml:space="preserve">.  </w:t>
      </w:r>
    </w:p>
    <w:p w14:paraId="5E4EA8EE" w14:textId="77777777" w:rsidR="00673811" w:rsidRDefault="00673811" w:rsidP="00673811">
      <w:pPr>
        <w:pStyle w:val="ListParagraph"/>
        <w:ind w:left="0"/>
        <w:rPr>
          <w:rFonts w:cs="Times New Roman"/>
        </w:rPr>
      </w:pPr>
    </w:p>
    <w:p w14:paraId="0AB38E54" w14:textId="77777777" w:rsidR="00673811" w:rsidRPr="00386ADE" w:rsidRDefault="00673811" w:rsidP="00673811">
      <w:pPr>
        <w:pStyle w:val="Heading3"/>
        <w:keepNext w:val="0"/>
        <w:widowControl w:val="0"/>
        <w:numPr>
          <w:ilvl w:val="0"/>
          <w:numId w:val="39"/>
        </w:numPr>
        <w:spacing w:before="0" w:after="0"/>
      </w:pPr>
      <w:bookmarkStart w:id="1" w:name="_Toc416159269"/>
      <w:bookmarkStart w:id="2" w:name="_Toc416754842"/>
      <w:bookmarkStart w:id="3" w:name="_Toc530457820"/>
      <w:bookmarkStart w:id="4" w:name="_Toc483048381"/>
      <w:bookmarkStart w:id="5" w:name="_Toc153615120"/>
      <w:bookmarkStart w:id="6" w:name="_Toc159383424"/>
      <w:bookmarkStart w:id="7" w:name="_Toc159483651"/>
      <w:r w:rsidRPr="00386ADE">
        <w:t xml:space="preserve">Relationship </w:t>
      </w:r>
      <w:bookmarkEnd w:id="1"/>
      <w:bookmarkEnd w:id="2"/>
      <w:bookmarkEnd w:id="3"/>
      <w:bookmarkEnd w:id="4"/>
      <w:r w:rsidRPr="00386ADE">
        <w:t>of SAE to study drug or other intervention</w:t>
      </w:r>
      <w:bookmarkEnd w:id="5"/>
      <w:bookmarkEnd w:id="6"/>
      <w:bookmarkEnd w:id="7"/>
    </w:p>
    <w:p w14:paraId="2567D428" w14:textId="77777777" w:rsidR="00673811" w:rsidRPr="00831296" w:rsidRDefault="00673811" w:rsidP="00673811">
      <w:pPr>
        <w:ind w:left="720"/>
        <w:rPr>
          <w:rFonts w:cs="Times New Roman"/>
        </w:rPr>
      </w:pPr>
      <w:r w:rsidRPr="00386ADE">
        <w:rPr>
          <w:rFonts w:cs="Times New Roman"/>
        </w:rPr>
        <w:t xml:space="preserve">The relationship of each SAE to the study intervention should be characterized using one of the following terms in accordance with IRB Guidelines: </w:t>
      </w:r>
      <w:r w:rsidRPr="00831296">
        <w:rPr>
          <w:rFonts w:cs="Times New Roman"/>
          <w:i/>
        </w:rPr>
        <w:t xml:space="preserve">definitely, probably, possibly, unlikely </w:t>
      </w:r>
      <w:r w:rsidRPr="00386ADE">
        <w:rPr>
          <w:rFonts w:cs="Times New Roman"/>
        </w:rPr>
        <w:t xml:space="preserve">or </w:t>
      </w:r>
      <w:r w:rsidRPr="00831296">
        <w:rPr>
          <w:rFonts w:cs="Times New Roman"/>
          <w:i/>
        </w:rPr>
        <w:t>unrelated</w:t>
      </w:r>
      <w:r w:rsidRPr="00386ADE">
        <w:rPr>
          <w:rFonts w:cs="Times New Roman"/>
        </w:rPr>
        <w:t xml:space="preserve">. </w:t>
      </w:r>
    </w:p>
    <w:p w14:paraId="1B42B962" w14:textId="77777777" w:rsidR="00673811" w:rsidRDefault="00673811" w:rsidP="00673811">
      <w:pPr>
        <w:pStyle w:val="ListParagraph"/>
        <w:ind w:left="0"/>
      </w:pPr>
    </w:p>
    <w:p w14:paraId="69CE9694" w14:textId="2FDF48C3" w:rsidR="00673811" w:rsidRPr="00831296" w:rsidRDefault="003556A5" w:rsidP="00673811">
      <w:pPr>
        <w:pStyle w:val="ListParagraph"/>
        <w:ind w:left="0"/>
        <w:rPr>
          <w:b/>
        </w:rPr>
      </w:pPr>
      <w:r>
        <w:rPr>
          <w:b/>
        </w:rPr>
        <w:t xml:space="preserve">_______ V. </w:t>
      </w:r>
      <w:r w:rsidR="00673811">
        <w:rPr>
          <w:b/>
        </w:rPr>
        <w:t xml:space="preserve">IRB </w:t>
      </w:r>
      <w:r w:rsidR="00673811" w:rsidRPr="00831296">
        <w:rPr>
          <w:b/>
        </w:rPr>
        <w:t>Notification of SAEs</w:t>
      </w:r>
      <w:r w:rsidR="00F80842">
        <w:rPr>
          <w:b/>
        </w:rPr>
        <w:t>, AEs,</w:t>
      </w:r>
      <w:r w:rsidR="00673811" w:rsidRPr="00831296">
        <w:rPr>
          <w:b/>
        </w:rPr>
        <w:t xml:space="preserve"> and Other Unanticipated Problems</w:t>
      </w:r>
    </w:p>
    <w:p w14:paraId="35738B86" w14:textId="77777777" w:rsidR="00673811" w:rsidRDefault="00673811" w:rsidP="00673811">
      <w:pPr>
        <w:pStyle w:val="ListParagraph"/>
        <w:ind w:left="0"/>
      </w:pPr>
    </w:p>
    <w:p w14:paraId="2CBC72C4" w14:textId="5A6886DD" w:rsidR="00673811" w:rsidRDefault="00673811" w:rsidP="00673811">
      <w:pPr>
        <w:rPr>
          <w:rFonts w:cs="Times New Roman"/>
        </w:rPr>
      </w:pPr>
      <w:r>
        <w:rPr>
          <w:rFonts w:cs="Times New Roman"/>
        </w:rPr>
        <w:t xml:space="preserve">The PI </w:t>
      </w:r>
      <w:r w:rsidRPr="00386ADE">
        <w:rPr>
          <w:rFonts w:cs="Times New Roman"/>
        </w:rPr>
        <w:t xml:space="preserve">will </w:t>
      </w:r>
      <w:r>
        <w:rPr>
          <w:rFonts w:cs="Times New Roman"/>
        </w:rPr>
        <w:t xml:space="preserve">notify </w:t>
      </w:r>
      <w:r w:rsidR="00702C3B">
        <w:rPr>
          <w:rFonts w:cs="Times New Roman"/>
        </w:rPr>
        <w:t>the WCU IRB Chair (</w:t>
      </w:r>
      <w:hyperlink r:id="rId8" w:history="1">
        <w:r w:rsidR="00702C3B" w:rsidRPr="00D03B41">
          <w:rPr>
            <w:rStyle w:val="Hyperlink"/>
            <w:rFonts w:cs="Times New Roman"/>
          </w:rPr>
          <w:t>irb@wmcarey.edu</w:t>
        </w:r>
      </w:hyperlink>
      <w:r w:rsidR="00702C3B">
        <w:rPr>
          <w:rFonts w:cs="Times New Roman"/>
        </w:rPr>
        <w:t xml:space="preserve">) </w:t>
      </w:r>
      <w:r w:rsidRPr="00386ADE">
        <w:rPr>
          <w:rFonts w:cs="Times New Roman"/>
        </w:rPr>
        <w:t>of all</w:t>
      </w:r>
      <w:r>
        <w:rPr>
          <w:rFonts w:cs="Times New Roman"/>
        </w:rPr>
        <w:t xml:space="preserve"> </w:t>
      </w:r>
      <w:r w:rsidR="00702C3B">
        <w:rPr>
          <w:rFonts w:cs="Times New Roman"/>
        </w:rPr>
        <w:t xml:space="preserve">SAEs, AEs, and </w:t>
      </w:r>
      <w:r w:rsidR="00F80842">
        <w:rPr>
          <w:rFonts w:cs="Times New Roman"/>
        </w:rPr>
        <w:t xml:space="preserve">Other </w:t>
      </w:r>
      <w:r w:rsidR="00702C3B">
        <w:rPr>
          <w:rFonts w:cs="Times New Roman"/>
        </w:rPr>
        <w:t>Unanticipated Problems</w:t>
      </w:r>
      <w:r w:rsidRPr="00386ADE">
        <w:rPr>
          <w:rFonts w:cs="Times New Roman"/>
        </w:rPr>
        <w:t xml:space="preserve"> related to the research activity</w:t>
      </w:r>
      <w:r w:rsidR="00702C3B">
        <w:rPr>
          <w:rFonts w:cs="Times New Roman"/>
        </w:rPr>
        <w:t xml:space="preserve"> in accordance with the manner and timeline found within the chart below: </w:t>
      </w:r>
      <w:r>
        <w:rPr>
          <w:rFonts w:cs="Times New Roman"/>
        </w:rPr>
        <w:t xml:space="preserve"> </w:t>
      </w:r>
      <w:r w:rsidRPr="00386ADE">
        <w:rPr>
          <w:rFonts w:cs="Times New Roman"/>
        </w:rPr>
        <w:t xml:space="preserve"> </w:t>
      </w:r>
    </w:p>
    <w:p w14:paraId="091DAFA6" w14:textId="77777777" w:rsidR="00673811" w:rsidRPr="00386ADE" w:rsidRDefault="00673811" w:rsidP="0067381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2340"/>
        <w:gridCol w:w="3299"/>
      </w:tblGrid>
      <w:tr w:rsidR="00673811" w:rsidRPr="00386ADE" w14:paraId="2CFB550C" w14:textId="77777777" w:rsidTr="00506CB3">
        <w:tc>
          <w:tcPr>
            <w:tcW w:w="3505" w:type="dxa"/>
            <w:shd w:val="clear" w:color="auto" w:fill="C0C0C0"/>
          </w:tcPr>
          <w:p w14:paraId="52E83564" w14:textId="77777777" w:rsidR="00673811" w:rsidRPr="00386ADE" w:rsidRDefault="00673811" w:rsidP="00506CB3">
            <w:pPr>
              <w:widowControl w:val="0"/>
              <w:jc w:val="center"/>
              <w:rPr>
                <w:rFonts w:eastAsia="Times New Roman" w:cs="Times New Roman"/>
                <w:b/>
              </w:rPr>
            </w:pPr>
            <w:r w:rsidRPr="00386ADE">
              <w:rPr>
                <w:rFonts w:eastAsia="Times New Roman" w:cs="Times New Roman"/>
                <w:b/>
              </w:rPr>
              <w:t>Type of Unanticipated Problem</w:t>
            </w:r>
          </w:p>
        </w:tc>
        <w:tc>
          <w:tcPr>
            <w:tcW w:w="2340" w:type="dxa"/>
            <w:shd w:val="clear" w:color="auto" w:fill="C0C0C0"/>
          </w:tcPr>
          <w:p w14:paraId="31551F1C" w14:textId="28A2FCF2" w:rsidR="00673811" w:rsidRPr="00386ADE" w:rsidRDefault="00673811" w:rsidP="00506CB3">
            <w:pPr>
              <w:widowControl w:val="0"/>
              <w:jc w:val="center"/>
              <w:rPr>
                <w:rFonts w:eastAsia="Times New Roman" w:cs="Times New Roman"/>
                <w:b/>
              </w:rPr>
            </w:pPr>
            <w:r w:rsidRPr="00386ADE">
              <w:rPr>
                <w:rFonts w:eastAsia="Times New Roman" w:cs="Times New Roman"/>
                <w:b/>
              </w:rPr>
              <w:t xml:space="preserve">Initial Notification </w:t>
            </w:r>
            <w:r w:rsidRPr="00386ADE">
              <w:rPr>
                <w:rFonts w:eastAsia="Times New Roman" w:cs="Times New Roman"/>
                <w:b/>
              </w:rPr>
              <w:br/>
            </w:r>
            <w:r w:rsidRPr="00E251A5">
              <w:rPr>
                <w:rFonts w:eastAsia="Times New Roman" w:cs="Times New Roman"/>
                <w:b/>
                <w:sz w:val="20"/>
                <w:szCs w:val="20"/>
              </w:rPr>
              <w:t xml:space="preserve">(Phone, Email, </w:t>
            </w:r>
            <w:r w:rsidR="00E251A5" w:rsidRPr="00E251A5">
              <w:rPr>
                <w:rFonts w:eastAsia="Times New Roman" w:cs="Times New Roman"/>
                <w:b/>
                <w:sz w:val="20"/>
                <w:szCs w:val="20"/>
              </w:rPr>
              <w:t xml:space="preserve">or </w:t>
            </w:r>
            <w:r w:rsidRPr="00E251A5">
              <w:rPr>
                <w:rFonts w:eastAsia="Times New Roman" w:cs="Times New Roman"/>
                <w:b/>
                <w:sz w:val="20"/>
                <w:szCs w:val="20"/>
              </w:rPr>
              <w:t>Fax)</w:t>
            </w:r>
          </w:p>
        </w:tc>
        <w:tc>
          <w:tcPr>
            <w:tcW w:w="3299" w:type="dxa"/>
            <w:shd w:val="clear" w:color="auto" w:fill="C0C0C0"/>
          </w:tcPr>
          <w:p w14:paraId="29975096" w14:textId="77777777" w:rsidR="00673811" w:rsidRPr="00386ADE" w:rsidRDefault="00673811" w:rsidP="00506CB3">
            <w:pPr>
              <w:widowControl w:val="0"/>
              <w:jc w:val="center"/>
              <w:rPr>
                <w:rFonts w:eastAsia="Times New Roman" w:cs="Times New Roman"/>
                <w:b/>
              </w:rPr>
            </w:pPr>
            <w:r w:rsidRPr="00386ADE">
              <w:rPr>
                <w:rFonts w:eastAsia="Times New Roman" w:cs="Times New Roman"/>
                <w:b/>
              </w:rPr>
              <w:t>Written Report</w:t>
            </w:r>
          </w:p>
        </w:tc>
      </w:tr>
      <w:tr w:rsidR="00673811" w:rsidRPr="00386ADE" w14:paraId="63E3CBD1" w14:textId="77777777" w:rsidTr="00506CB3">
        <w:tc>
          <w:tcPr>
            <w:tcW w:w="3505" w:type="dxa"/>
          </w:tcPr>
          <w:p w14:paraId="40FA7CEF" w14:textId="0774D884" w:rsidR="00673811" w:rsidRPr="00386ADE" w:rsidRDefault="00E251A5" w:rsidP="00506CB3">
            <w:pPr>
              <w:widowControl w:val="0"/>
              <w:ind w:left="360" w:hanging="360"/>
              <w:rPr>
                <w:rFonts w:eastAsia="Times New Roman" w:cs="Times New Roman"/>
              </w:rPr>
            </w:pPr>
            <w:r>
              <w:rPr>
                <w:rFonts w:eastAsia="Times New Roman" w:cs="Times New Roman"/>
              </w:rPr>
              <w:t>All SAEs</w:t>
            </w:r>
            <w:r w:rsidR="00673811" w:rsidRPr="00386ADE">
              <w:rPr>
                <w:rFonts w:eastAsia="Times New Roman" w:cs="Times New Roman"/>
              </w:rPr>
              <w:t xml:space="preserve"> </w:t>
            </w:r>
          </w:p>
        </w:tc>
        <w:tc>
          <w:tcPr>
            <w:tcW w:w="2340" w:type="dxa"/>
          </w:tcPr>
          <w:p w14:paraId="6497B2EA" w14:textId="77777777" w:rsidR="00673811" w:rsidRPr="00386ADE" w:rsidRDefault="00673811" w:rsidP="00506CB3">
            <w:pPr>
              <w:widowControl w:val="0"/>
              <w:jc w:val="center"/>
              <w:rPr>
                <w:rFonts w:eastAsia="Times New Roman" w:cs="Times New Roman"/>
              </w:rPr>
            </w:pPr>
            <w:r w:rsidRPr="00386ADE">
              <w:rPr>
                <w:rFonts w:eastAsia="Times New Roman" w:cs="Times New Roman"/>
              </w:rPr>
              <w:t>24 hours</w:t>
            </w:r>
          </w:p>
        </w:tc>
        <w:tc>
          <w:tcPr>
            <w:tcW w:w="3299" w:type="dxa"/>
          </w:tcPr>
          <w:p w14:paraId="2AB7AFE6" w14:textId="77777777" w:rsidR="00673811" w:rsidRPr="00386ADE" w:rsidRDefault="00673811" w:rsidP="00506CB3">
            <w:pPr>
              <w:widowControl w:val="0"/>
              <w:jc w:val="center"/>
              <w:rPr>
                <w:rFonts w:eastAsia="Times New Roman" w:cs="Times New Roman"/>
              </w:rPr>
            </w:pPr>
            <w:r w:rsidRPr="00386ADE">
              <w:rPr>
                <w:rFonts w:eastAsia="Times New Roman" w:cs="Times New Roman"/>
              </w:rPr>
              <w:t>Within 2 calendar days</w:t>
            </w:r>
          </w:p>
        </w:tc>
      </w:tr>
      <w:tr w:rsidR="00673811" w:rsidRPr="00386ADE" w14:paraId="17527721" w14:textId="77777777" w:rsidTr="00506CB3">
        <w:tc>
          <w:tcPr>
            <w:tcW w:w="3505" w:type="dxa"/>
          </w:tcPr>
          <w:p w14:paraId="350EF2C8" w14:textId="0A33E0AB" w:rsidR="00673811" w:rsidRPr="00386ADE" w:rsidRDefault="00E251A5" w:rsidP="00506CB3">
            <w:pPr>
              <w:widowControl w:val="0"/>
              <w:ind w:left="360" w:hanging="360"/>
              <w:rPr>
                <w:rFonts w:eastAsia="Times New Roman" w:cs="Times New Roman"/>
              </w:rPr>
            </w:pPr>
            <w:r>
              <w:rPr>
                <w:rFonts w:eastAsia="Times New Roman" w:cs="Times New Roman"/>
              </w:rPr>
              <w:t>All AEs</w:t>
            </w:r>
          </w:p>
        </w:tc>
        <w:tc>
          <w:tcPr>
            <w:tcW w:w="2340" w:type="dxa"/>
          </w:tcPr>
          <w:p w14:paraId="1984C50A" w14:textId="77777777" w:rsidR="00673811" w:rsidRPr="00386ADE" w:rsidRDefault="00673811" w:rsidP="00506CB3">
            <w:pPr>
              <w:widowControl w:val="0"/>
              <w:jc w:val="center"/>
              <w:rPr>
                <w:rFonts w:eastAsia="Times New Roman" w:cs="Times New Roman"/>
              </w:rPr>
            </w:pPr>
            <w:r w:rsidRPr="00386ADE">
              <w:rPr>
                <w:rFonts w:eastAsia="Times New Roman" w:cs="Times New Roman"/>
              </w:rPr>
              <w:t>7 days</w:t>
            </w:r>
          </w:p>
        </w:tc>
        <w:tc>
          <w:tcPr>
            <w:tcW w:w="3299" w:type="dxa"/>
          </w:tcPr>
          <w:p w14:paraId="1587D711" w14:textId="77777777" w:rsidR="00673811" w:rsidRPr="00386ADE" w:rsidRDefault="00673811" w:rsidP="00506CB3">
            <w:pPr>
              <w:widowControl w:val="0"/>
              <w:jc w:val="center"/>
              <w:rPr>
                <w:rFonts w:eastAsia="Times New Roman" w:cs="Times New Roman"/>
              </w:rPr>
            </w:pPr>
            <w:r w:rsidRPr="00386ADE">
              <w:rPr>
                <w:rFonts w:eastAsia="Times New Roman" w:cs="Times New Roman"/>
              </w:rPr>
              <w:t>Within 7 business days</w:t>
            </w:r>
          </w:p>
        </w:tc>
      </w:tr>
      <w:tr w:rsidR="00673811" w:rsidRPr="00386ADE" w14:paraId="58D67E47" w14:textId="77777777" w:rsidTr="00506CB3">
        <w:tc>
          <w:tcPr>
            <w:tcW w:w="3505" w:type="dxa"/>
          </w:tcPr>
          <w:p w14:paraId="6B79D60E" w14:textId="495DECEB" w:rsidR="00673811" w:rsidRPr="00386ADE" w:rsidRDefault="00906A17" w:rsidP="00506CB3">
            <w:pPr>
              <w:widowControl w:val="0"/>
              <w:rPr>
                <w:rFonts w:eastAsia="Times New Roman" w:cs="Times New Roman"/>
              </w:rPr>
            </w:pPr>
            <w:r>
              <w:rPr>
                <w:rFonts w:eastAsia="Times New Roman" w:cs="Times New Roman"/>
              </w:rPr>
              <w:t xml:space="preserve">Other </w:t>
            </w:r>
            <w:r w:rsidR="00EC3841">
              <w:rPr>
                <w:rFonts w:eastAsia="Times New Roman" w:cs="Times New Roman"/>
              </w:rPr>
              <w:t>U</w:t>
            </w:r>
            <w:r>
              <w:rPr>
                <w:rFonts w:eastAsia="Times New Roman" w:cs="Times New Roman"/>
              </w:rPr>
              <w:t>nanticipated Problems</w:t>
            </w:r>
          </w:p>
        </w:tc>
        <w:tc>
          <w:tcPr>
            <w:tcW w:w="2340" w:type="dxa"/>
          </w:tcPr>
          <w:p w14:paraId="3C15CD66" w14:textId="77777777" w:rsidR="00673811" w:rsidRPr="00386ADE" w:rsidRDefault="00673811" w:rsidP="00506CB3">
            <w:pPr>
              <w:widowControl w:val="0"/>
              <w:jc w:val="center"/>
              <w:rPr>
                <w:rFonts w:eastAsia="Times New Roman" w:cs="Times New Roman"/>
              </w:rPr>
            </w:pPr>
            <w:r w:rsidRPr="00386ADE">
              <w:rPr>
                <w:rFonts w:eastAsia="Times New Roman" w:cs="Times New Roman"/>
              </w:rPr>
              <w:t>N/A</w:t>
            </w:r>
          </w:p>
        </w:tc>
        <w:tc>
          <w:tcPr>
            <w:tcW w:w="3299" w:type="dxa"/>
          </w:tcPr>
          <w:p w14:paraId="2B7594B4" w14:textId="3CD1F4F6" w:rsidR="00673811" w:rsidRPr="00386ADE" w:rsidRDefault="00673811" w:rsidP="00EC3841">
            <w:pPr>
              <w:widowControl w:val="0"/>
              <w:jc w:val="center"/>
              <w:rPr>
                <w:rFonts w:eastAsia="Times New Roman" w:cs="Times New Roman"/>
              </w:rPr>
            </w:pPr>
            <w:r w:rsidRPr="00386ADE">
              <w:rPr>
                <w:rFonts w:eastAsia="Times New Roman" w:cs="Times New Roman"/>
              </w:rPr>
              <w:t xml:space="preserve">Summary of important </w:t>
            </w:r>
            <w:r w:rsidR="00EC3841">
              <w:rPr>
                <w:rFonts w:eastAsia="Times New Roman" w:cs="Times New Roman"/>
              </w:rPr>
              <w:t>Other Unanticipated Problems</w:t>
            </w:r>
            <w:r w:rsidRPr="00386ADE">
              <w:rPr>
                <w:rFonts w:eastAsia="Times New Roman" w:cs="Times New Roman"/>
              </w:rPr>
              <w:t xml:space="preserve"> may be reported at time of continuing review</w:t>
            </w:r>
          </w:p>
        </w:tc>
      </w:tr>
    </w:tbl>
    <w:p w14:paraId="37B74F2C" w14:textId="77777777" w:rsidR="00673811" w:rsidRDefault="00673811" w:rsidP="00673811">
      <w:pPr>
        <w:pStyle w:val="ListParagraph"/>
        <w:ind w:left="0"/>
      </w:pPr>
    </w:p>
    <w:p w14:paraId="0E651B9C" w14:textId="77777777" w:rsidR="00673811" w:rsidRDefault="00673811" w:rsidP="00673811">
      <w:pPr>
        <w:pStyle w:val="ListParagraph"/>
        <w:numPr>
          <w:ilvl w:val="0"/>
          <w:numId w:val="40"/>
        </w:numPr>
        <w:rPr>
          <w:b/>
        </w:rPr>
      </w:pPr>
      <w:r>
        <w:rPr>
          <w:b/>
        </w:rPr>
        <w:t>Follow-Up Report</w:t>
      </w:r>
    </w:p>
    <w:p w14:paraId="57E0F43B" w14:textId="77777777" w:rsidR="00673811" w:rsidRPr="00831296" w:rsidRDefault="00673811" w:rsidP="00673811">
      <w:pPr>
        <w:pStyle w:val="ListParagraph"/>
        <w:rPr>
          <w:rFonts w:cs="Times New Roman"/>
        </w:rPr>
      </w:pPr>
      <w:r w:rsidRPr="00831296">
        <w:rPr>
          <w:rFonts w:cs="Times New Roman"/>
        </w:rPr>
        <w:t xml:space="preserve">If an SAE has not resolved at the time of the initial report and new information arises that changes the </w:t>
      </w:r>
      <w:r w:rsidRPr="001E747C">
        <w:rPr>
          <w:rFonts w:cs="Times New Roman"/>
        </w:rPr>
        <w:t>investigator’s assessment</w:t>
      </w:r>
      <w:r w:rsidRPr="00831296">
        <w:rPr>
          <w:rFonts w:cs="Times New Roman"/>
        </w:rPr>
        <w:t xml:space="preserve"> of the event, a follow-up report including all relevant new or reassessed information (e.g., concomitant medication, medical hist</w:t>
      </w:r>
      <w:r>
        <w:rPr>
          <w:rFonts w:cs="Times New Roman"/>
        </w:rPr>
        <w:t xml:space="preserve">ory) should be submitted to WCU’s </w:t>
      </w:r>
      <w:r w:rsidRPr="00831296">
        <w:rPr>
          <w:rFonts w:cs="Times New Roman"/>
        </w:rPr>
        <w:t xml:space="preserve">IRB. </w:t>
      </w:r>
      <w:r>
        <w:rPr>
          <w:rFonts w:cs="Times New Roman"/>
        </w:rPr>
        <w:t xml:space="preserve"> </w:t>
      </w:r>
      <w:r w:rsidRPr="001E747C">
        <w:rPr>
          <w:rFonts w:cs="Times New Roman"/>
        </w:rPr>
        <w:t>The WCU IRB investigator is responsible for ensuring that all SAEs are monitored until the situation is either resolved or stable.</w:t>
      </w:r>
      <w:r w:rsidRPr="00831296">
        <w:rPr>
          <w:rFonts w:cs="Times New Roman"/>
        </w:rPr>
        <w:t xml:space="preserve"> </w:t>
      </w:r>
    </w:p>
    <w:p w14:paraId="6C065CFD" w14:textId="77777777" w:rsidR="00673811" w:rsidRPr="00831296" w:rsidRDefault="00673811" w:rsidP="00673811">
      <w:pPr>
        <w:pStyle w:val="ListParagraph"/>
      </w:pPr>
    </w:p>
    <w:p w14:paraId="4B2A42C8" w14:textId="50ED54BF" w:rsidR="00673811" w:rsidRDefault="003556A5" w:rsidP="00673811">
      <w:pPr>
        <w:pStyle w:val="ListParagraph"/>
        <w:ind w:left="0"/>
        <w:rPr>
          <w:b/>
        </w:rPr>
      </w:pPr>
      <w:r>
        <w:rPr>
          <w:b/>
        </w:rPr>
        <w:lastRenderedPageBreak/>
        <w:t xml:space="preserve">_______ VI. </w:t>
      </w:r>
      <w:r w:rsidR="00673811">
        <w:rPr>
          <w:b/>
        </w:rPr>
        <w:t xml:space="preserve">Investigator Report of a SAE to </w:t>
      </w:r>
      <w:r w:rsidR="00673811" w:rsidRPr="001E747C">
        <w:rPr>
          <w:b/>
        </w:rPr>
        <w:t>Sponsor</w:t>
      </w:r>
    </w:p>
    <w:p w14:paraId="2F50C9A6" w14:textId="77777777" w:rsidR="00673811" w:rsidRDefault="00673811" w:rsidP="00673811">
      <w:pPr>
        <w:pStyle w:val="ListParagraph"/>
        <w:ind w:left="0"/>
      </w:pPr>
    </w:p>
    <w:p w14:paraId="4954BAB9" w14:textId="43A09A7C" w:rsidR="00673811" w:rsidRPr="004A3F92" w:rsidRDefault="00673811" w:rsidP="00673811">
      <w:pPr>
        <w:rPr>
          <w:rFonts w:cs="Times New Roman"/>
        </w:rPr>
      </w:pPr>
      <w:r w:rsidRPr="00386ADE">
        <w:rPr>
          <w:rFonts w:cs="Times New Roman"/>
        </w:rPr>
        <w:t>Reporting must</w:t>
      </w:r>
      <w:r>
        <w:rPr>
          <w:rFonts w:cs="Times New Roman"/>
        </w:rPr>
        <w:t xml:space="preserve"> be consistent with </w:t>
      </w:r>
      <w:r w:rsidRPr="001E747C">
        <w:rPr>
          <w:rFonts w:cs="Times New Roman"/>
        </w:rPr>
        <w:t>reg</w:t>
      </w:r>
      <w:r w:rsidR="0045663D">
        <w:rPr>
          <w:rFonts w:cs="Times New Roman"/>
        </w:rPr>
        <w:t>ulatory or sponsor requirements.</w:t>
      </w:r>
    </w:p>
    <w:p w14:paraId="528C27BE" w14:textId="77777777" w:rsidR="00673811" w:rsidRDefault="00673811" w:rsidP="00673811">
      <w:pPr>
        <w:pStyle w:val="ListParagraph"/>
        <w:ind w:left="0"/>
      </w:pPr>
    </w:p>
    <w:sectPr w:rsidR="00673811" w:rsidSect="0018102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DFDF" w14:textId="77777777" w:rsidR="00875829" w:rsidRDefault="00875829" w:rsidP="007A3B5E">
      <w:r>
        <w:separator/>
      </w:r>
    </w:p>
  </w:endnote>
  <w:endnote w:type="continuationSeparator" w:id="0">
    <w:p w14:paraId="5FB1B9D8" w14:textId="77777777" w:rsidR="00875829" w:rsidRDefault="00875829" w:rsidP="007A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6F54" w14:textId="77777777" w:rsidR="00CD02F0" w:rsidRDefault="00CD02F0" w:rsidP="0018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BC694" w14:textId="77777777" w:rsidR="00CD02F0" w:rsidRDefault="00CD02F0" w:rsidP="001810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99D19" w14:textId="77777777" w:rsidR="00CD02F0" w:rsidRDefault="00CD02F0" w:rsidP="001810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E0D4" w14:textId="77777777" w:rsidR="00875829" w:rsidRDefault="00875829" w:rsidP="007A3B5E">
      <w:r>
        <w:separator/>
      </w:r>
    </w:p>
  </w:footnote>
  <w:footnote w:type="continuationSeparator" w:id="0">
    <w:p w14:paraId="7B5634FB" w14:textId="77777777" w:rsidR="00875829" w:rsidRDefault="00875829" w:rsidP="007A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877194"/>
      <w:docPartObj>
        <w:docPartGallery w:val="Page Numbers (Top of Page)"/>
        <w:docPartUnique/>
      </w:docPartObj>
    </w:sdtPr>
    <w:sdtEndPr>
      <w:rPr>
        <w:noProof/>
      </w:rPr>
    </w:sdtEndPr>
    <w:sdtContent>
      <w:p w14:paraId="0BBC4AEC" w14:textId="1AF65194" w:rsidR="000642FB" w:rsidRDefault="000642FB" w:rsidP="000642FB">
        <w:pPr>
          <w:pStyle w:val="Header"/>
          <w:rPr>
            <w:noProof/>
          </w:rPr>
        </w:pPr>
        <w:r>
          <w:t xml:space="preserve">PI Initials: __________                                          WCU IRB Medical Treatment Supplemental </w:t>
        </w:r>
        <w:r>
          <w:fldChar w:fldCharType="begin"/>
        </w:r>
        <w:r>
          <w:instrText xml:space="preserve"> PAGE   \* MERGEFORMAT </w:instrText>
        </w:r>
        <w:r>
          <w:fldChar w:fldCharType="separate"/>
        </w:r>
        <w:r w:rsidR="00985C61">
          <w:rPr>
            <w:noProof/>
          </w:rPr>
          <w:t>4</w:t>
        </w:r>
        <w:r>
          <w:rPr>
            <w:noProof/>
          </w:rPr>
          <w:fldChar w:fldCharType="end"/>
        </w:r>
      </w:p>
    </w:sdtContent>
  </w:sdt>
  <w:p w14:paraId="0BF86247" w14:textId="77777777" w:rsidR="00CD02F0" w:rsidRDefault="00CD02F0" w:rsidP="007A3B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164E8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59CE"/>
    <w:multiLevelType w:val="hybridMultilevel"/>
    <w:tmpl w:val="153C08D4"/>
    <w:lvl w:ilvl="0" w:tplc="C0B6B1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A6CB8"/>
    <w:multiLevelType w:val="hybridMultilevel"/>
    <w:tmpl w:val="C47A07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0EF5"/>
    <w:multiLevelType w:val="hybridMultilevel"/>
    <w:tmpl w:val="5D3C42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102FE"/>
    <w:multiLevelType w:val="hybridMultilevel"/>
    <w:tmpl w:val="78502F32"/>
    <w:lvl w:ilvl="0" w:tplc="EE8E769A">
      <w:start w:val="1"/>
      <w:numFmt w:val="upperLetter"/>
      <w:lvlText w:val="%1."/>
      <w:lvlJc w:val="left"/>
      <w:pPr>
        <w:ind w:left="673" w:hanging="360"/>
      </w:pPr>
      <w:rPr>
        <w:rFonts w:hint="default"/>
        <w:color w:val="000000" w:themeColor="text1"/>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5" w15:restartNumberingAfterBreak="0">
    <w:nsid w:val="1F2D403F"/>
    <w:multiLevelType w:val="hybridMultilevel"/>
    <w:tmpl w:val="856AACDE"/>
    <w:lvl w:ilvl="0" w:tplc="22E2C1C0">
      <w:start w:val="1"/>
      <w:numFmt w:val="upperLetter"/>
      <w:lvlText w:val="%1."/>
      <w:lvlJc w:val="left"/>
      <w:pPr>
        <w:ind w:left="720" w:hanging="360"/>
      </w:pPr>
      <w:rPr>
        <w:rFonts w:hint="default"/>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411DD0"/>
    <w:multiLevelType w:val="hybridMultilevel"/>
    <w:tmpl w:val="DE7A8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E2C2E"/>
    <w:multiLevelType w:val="hybridMultilevel"/>
    <w:tmpl w:val="479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4F54A6"/>
    <w:multiLevelType w:val="hybridMultilevel"/>
    <w:tmpl w:val="0E1A3686"/>
    <w:lvl w:ilvl="0" w:tplc="04090019">
      <w:start w:val="1"/>
      <w:numFmt w:val="lowerLetter"/>
      <w:lvlText w:val="%1."/>
      <w:lvlJc w:val="left"/>
      <w:pPr>
        <w:ind w:left="720" w:hanging="360"/>
      </w:pPr>
      <w:rPr>
        <w:rFonts w:hint="default"/>
        <w:b/>
      </w:rPr>
    </w:lvl>
    <w:lvl w:ilvl="1" w:tplc="0409001B">
      <w:start w:val="1"/>
      <w:numFmt w:val="lowerRoman"/>
      <w:lvlText w:val="%2."/>
      <w:lvlJc w:val="righ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E962A5"/>
    <w:multiLevelType w:val="hybridMultilevel"/>
    <w:tmpl w:val="64AC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D579D"/>
    <w:multiLevelType w:val="hybridMultilevel"/>
    <w:tmpl w:val="BD702CBE"/>
    <w:lvl w:ilvl="0" w:tplc="1348F6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6B6A"/>
    <w:multiLevelType w:val="hybridMultilevel"/>
    <w:tmpl w:val="BCBAAF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0D5596"/>
    <w:multiLevelType w:val="hybridMultilevel"/>
    <w:tmpl w:val="8A94D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B5517"/>
    <w:multiLevelType w:val="hybridMultilevel"/>
    <w:tmpl w:val="13F6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87ED4"/>
    <w:multiLevelType w:val="hybridMultilevel"/>
    <w:tmpl w:val="B274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615FB"/>
    <w:multiLevelType w:val="hybridMultilevel"/>
    <w:tmpl w:val="D902D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67DFE"/>
    <w:multiLevelType w:val="hybridMultilevel"/>
    <w:tmpl w:val="98BA9488"/>
    <w:lvl w:ilvl="0" w:tplc="647C3D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486D4C"/>
    <w:multiLevelType w:val="hybridMultilevel"/>
    <w:tmpl w:val="680ABB3C"/>
    <w:lvl w:ilvl="0" w:tplc="9E4092AC">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2D3FF0"/>
    <w:multiLevelType w:val="hybridMultilevel"/>
    <w:tmpl w:val="265E5CC4"/>
    <w:lvl w:ilvl="0" w:tplc="35AA323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94B7C"/>
    <w:multiLevelType w:val="hybridMultilevel"/>
    <w:tmpl w:val="B8201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22675"/>
    <w:multiLevelType w:val="hybridMultilevel"/>
    <w:tmpl w:val="432C6A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E57C26"/>
    <w:multiLevelType w:val="hybridMultilevel"/>
    <w:tmpl w:val="69F2CB14"/>
    <w:lvl w:ilvl="0" w:tplc="FDCC20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9014EB"/>
    <w:multiLevelType w:val="hybridMultilevel"/>
    <w:tmpl w:val="40A466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B47F6D"/>
    <w:multiLevelType w:val="hybridMultilevel"/>
    <w:tmpl w:val="B830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91F34"/>
    <w:multiLevelType w:val="hybridMultilevel"/>
    <w:tmpl w:val="26E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84F27"/>
    <w:multiLevelType w:val="hybridMultilevel"/>
    <w:tmpl w:val="C80E3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0B6D18"/>
    <w:multiLevelType w:val="hybridMultilevel"/>
    <w:tmpl w:val="118EC6F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9A6880"/>
    <w:multiLevelType w:val="hybridMultilevel"/>
    <w:tmpl w:val="B6AC89CC"/>
    <w:lvl w:ilvl="0" w:tplc="837250D6">
      <w:start w:val="1"/>
      <w:numFmt w:val="upperLetter"/>
      <w:lvlText w:val="%1."/>
      <w:lvlJc w:val="left"/>
      <w:pPr>
        <w:ind w:left="673" w:hanging="360"/>
      </w:pPr>
      <w:rPr>
        <w:rFonts w:hint="default"/>
        <w:color w:val="000000" w:themeColor="text1"/>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28" w15:restartNumberingAfterBreak="0">
    <w:nsid w:val="5FD824C2"/>
    <w:multiLevelType w:val="hybridMultilevel"/>
    <w:tmpl w:val="01F8C610"/>
    <w:lvl w:ilvl="0" w:tplc="8A50C5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1D86F63"/>
    <w:multiLevelType w:val="hybridMultilevel"/>
    <w:tmpl w:val="93300228"/>
    <w:lvl w:ilvl="0" w:tplc="AE72F0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F5215D"/>
    <w:multiLevelType w:val="hybridMultilevel"/>
    <w:tmpl w:val="C05030DE"/>
    <w:lvl w:ilvl="0" w:tplc="D0F009C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A47A5"/>
    <w:multiLevelType w:val="hybridMultilevel"/>
    <w:tmpl w:val="A79A317A"/>
    <w:lvl w:ilvl="0" w:tplc="871E123A">
      <w:start w:val="1"/>
      <w:numFmt w:val="upperLetter"/>
      <w:lvlText w:val="%1."/>
      <w:lvlJc w:val="left"/>
      <w:pPr>
        <w:ind w:left="403" w:hanging="360"/>
      </w:pPr>
      <w:rPr>
        <w:rFonts w:hint="default"/>
        <w:color w:val="000000" w:themeColor="text1"/>
        <w:sz w:val="20"/>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32" w15:restartNumberingAfterBreak="0">
    <w:nsid w:val="66312F9D"/>
    <w:multiLevelType w:val="hybridMultilevel"/>
    <w:tmpl w:val="98F0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3B0"/>
    <w:multiLevelType w:val="hybridMultilevel"/>
    <w:tmpl w:val="06D0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C5210"/>
    <w:multiLevelType w:val="hybridMultilevel"/>
    <w:tmpl w:val="02EC7D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643347"/>
    <w:multiLevelType w:val="hybridMultilevel"/>
    <w:tmpl w:val="6526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C94752"/>
    <w:multiLevelType w:val="hybridMultilevel"/>
    <w:tmpl w:val="07906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6571B3"/>
    <w:multiLevelType w:val="hybridMultilevel"/>
    <w:tmpl w:val="636C95EC"/>
    <w:lvl w:ilvl="0" w:tplc="77EC2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2674D"/>
    <w:multiLevelType w:val="hybridMultilevel"/>
    <w:tmpl w:val="7B1E9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8B4A80"/>
    <w:multiLevelType w:val="hybridMultilevel"/>
    <w:tmpl w:val="03566244"/>
    <w:lvl w:ilvl="0" w:tplc="95767BBA">
      <w:start w:val="1"/>
      <w:numFmt w:val="upp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E5481E"/>
    <w:multiLevelType w:val="hybridMultilevel"/>
    <w:tmpl w:val="AC0CB4D2"/>
    <w:lvl w:ilvl="0" w:tplc="B074F5F0">
      <w:start w:val="1"/>
      <w:numFmt w:val="lowerLetter"/>
      <w:lvlText w:val="%1."/>
      <w:lvlJc w:val="left"/>
      <w:pPr>
        <w:ind w:left="673" w:hanging="360"/>
      </w:pPr>
      <w:rPr>
        <w:rFonts w:cstheme="minorBidi" w:hint="default"/>
        <w:color w:val="auto"/>
      </w:rPr>
    </w:lvl>
    <w:lvl w:ilvl="1" w:tplc="04090019" w:tentative="1">
      <w:start w:val="1"/>
      <w:numFmt w:val="lowerLetter"/>
      <w:lvlText w:val="%2."/>
      <w:lvlJc w:val="left"/>
      <w:pPr>
        <w:ind w:left="1393" w:hanging="360"/>
      </w:pPr>
    </w:lvl>
    <w:lvl w:ilvl="2" w:tplc="0409001B" w:tentative="1">
      <w:start w:val="1"/>
      <w:numFmt w:val="lowerRoman"/>
      <w:lvlText w:val="%3."/>
      <w:lvlJc w:val="right"/>
      <w:pPr>
        <w:ind w:left="2113" w:hanging="180"/>
      </w:pPr>
    </w:lvl>
    <w:lvl w:ilvl="3" w:tplc="0409000F" w:tentative="1">
      <w:start w:val="1"/>
      <w:numFmt w:val="decimal"/>
      <w:lvlText w:val="%4."/>
      <w:lvlJc w:val="left"/>
      <w:pPr>
        <w:ind w:left="2833" w:hanging="360"/>
      </w:pPr>
    </w:lvl>
    <w:lvl w:ilvl="4" w:tplc="04090019" w:tentative="1">
      <w:start w:val="1"/>
      <w:numFmt w:val="lowerLetter"/>
      <w:lvlText w:val="%5."/>
      <w:lvlJc w:val="left"/>
      <w:pPr>
        <w:ind w:left="3553" w:hanging="360"/>
      </w:pPr>
    </w:lvl>
    <w:lvl w:ilvl="5" w:tplc="0409001B" w:tentative="1">
      <w:start w:val="1"/>
      <w:numFmt w:val="lowerRoman"/>
      <w:lvlText w:val="%6."/>
      <w:lvlJc w:val="right"/>
      <w:pPr>
        <w:ind w:left="4273" w:hanging="180"/>
      </w:pPr>
    </w:lvl>
    <w:lvl w:ilvl="6" w:tplc="0409000F" w:tentative="1">
      <w:start w:val="1"/>
      <w:numFmt w:val="decimal"/>
      <w:lvlText w:val="%7."/>
      <w:lvlJc w:val="left"/>
      <w:pPr>
        <w:ind w:left="4993" w:hanging="360"/>
      </w:pPr>
    </w:lvl>
    <w:lvl w:ilvl="7" w:tplc="04090019" w:tentative="1">
      <w:start w:val="1"/>
      <w:numFmt w:val="lowerLetter"/>
      <w:lvlText w:val="%8."/>
      <w:lvlJc w:val="left"/>
      <w:pPr>
        <w:ind w:left="5713" w:hanging="360"/>
      </w:pPr>
    </w:lvl>
    <w:lvl w:ilvl="8" w:tplc="0409001B" w:tentative="1">
      <w:start w:val="1"/>
      <w:numFmt w:val="lowerRoman"/>
      <w:lvlText w:val="%9."/>
      <w:lvlJc w:val="right"/>
      <w:pPr>
        <w:ind w:left="6433" w:hanging="180"/>
      </w:pPr>
    </w:lvl>
  </w:abstractNum>
  <w:abstractNum w:abstractNumId="41" w15:restartNumberingAfterBreak="0">
    <w:nsid w:val="6E2B43DF"/>
    <w:multiLevelType w:val="hybridMultilevel"/>
    <w:tmpl w:val="FB28C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67764B"/>
    <w:multiLevelType w:val="multilevel"/>
    <w:tmpl w:val="58981C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3" w15:restartNumberingAfterBreak="0">
    <w:nsid w:val="751A47B7"/>
    <w:multiLevelType w:val="hybridMultilevel"/>
    <w:tmpl w:val="F36C1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4C432B"/>
    <w:multiLevelType w:val="hybridMultilevel"/>
    <w:tmpl w:val="064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001082"/>
    <w:multiLevelType w:val="hybridMultilevel"/>
    <w:tmpl w:val="BDEA5540"/>
    <w:lvl w:ilvl="0" w:tplc="C250116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82715"/>
    <w:multiLevelType w:val="hybridMultilevel"/>
    <w:tmpl w:val="A6160F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11"/>
  </w:num>
  <w:num w:numId="3">
    <w:abstractNumId w:val="36"/>
  </w:num>
  <w:num w:numId="4">
    <w:abstractNumId w:val="41"/>
  </w:num>
  <w:num w:numId="5">
    <w:abstractNumId w:val="29"/>
  </w:num>
  <w:num w:numId="6">
    <w:abstractNumId w:val="18"/>
  </w:num>
  <w:num w:numId="7">
    <w:abstractNumId w:val="15"/>
  </w:num>
  <w:num w:numId="8">
    <w:abstractNumId w:val="9"/>
  </w:num>
  <w:num w:numId="9">
    <w:abstractNumId w:val="16"/>
  </w:num>
  <w:num w:numId="10">
    <w:abstractNumId w:val="28"/>
  </w:num>
  <w:num w:numId="11">
    <w:abstractNumId w:val="30"/>
  </w:num>
  <w:num w:numId="12">
    <w:abstractNumId w:val="21"/>
  </w:num>
  <w:num w:numId="13">
    <w:abstractNumId w:val="43"/>
  </w:num>
  <w:num w:numId="14">
    <w:abstractNumId w:val="1"/>
  </w:num>
  <w:num w:numId="15">
    <w:abstractNumId w:val="10"/>
  </w:num>
  <w:num w:numId="16">
    <w:abstractNumId w:val="23"/>
  </w:num>
  <w:num w:numId="17">
    <w:abstractNumId w:val="24"/>
  </w:num>
  <w:num w:numId="18">
    <w:abstractNumId w:val="44"/>
  </w:num>
  <w:num w:numId="19">
    <w:abstractNumId w:val="20"/>
  </w:num>
  <w:num w:numId="20">
    <w:abstractNumId w:val="7"/>
  </w:num>
  <w:num w:numId="21">
    <w:abstractNumId w:val="6"/>
  </w:num>
  <w:num w:numId="22">
    <w:abstractNumId w:val="35"/>
  </w:num>
  <w:num w:numId="23">
    <w:abstractNumId w:val="39"/>
  </w:num>
  <w:num w:numId="24">
    <w:abstractNumId w:val="4"/>
  </w:num>
  <w:num w:numId="25">
    <w:abstractNumId w:val="27"/>
  </w:num>
  <w:num w:numId="26">
    <w:abstractNumId w:val="5"/>
  </w:num>
  <w:num w:numId="27">
    <w:abstractNumId w:val="2"/>
  </w:num>
  <w:num w:numId="28">
    <w:abstractNumId w:val="17"/>
  </w:num>
  <w:num w:numId="29">
    <w:abstractNumId w:val="40"/>
  </w:num>
  <w:num w:numId="30">
    <w:abstractNumId w:val="37"/>
  </w:num>
  <w:num w:numId="31">
    <w:abstractNumId w:val="32"/>
  </w:num>
  <w:num w:numId="32">
    <w:abstractNumId w:val="45"/>
  </w:num>
  <w:num w:numId="33">
    <w:abstractNumId w:val="0"/>
  </w:num>
  <w:num w:numId="34">
    <w:abstractNumId w:val="38"/>
  </w:num>
  <w:num w:numId="35">
    <w:abstractNumId w:val="42"/>
  </w:num>
  <w:num w:numId="36">
    <w:abstractNumId w:val="19"/>
  </w:num>
  <w:num w:numId="37">
    <w:abstractNumId w:val="3"/>
  </w:num>
  <w:num w:numId="38">
    <w:abstractNumId w:val="14"/>
  </w:num>
  <w:num w:numId="39">
    <w:abstractNumId w:val="13"/>
  </w:num>
  <w:num w:numId="40">
    <w:abstractNumId w:val="33"/>
  </w:num>
  <w:num w:numId="41">
    <w:abstractNumId w:val="31"/>
  </w:num>
  <w:num w:numId="42">
    <w:abstractNumId w:val="8"/>
  </w:num>
  <w:num w:numId="43">
    <w:abstractNumId w:val="22"/>
  </w:num>
  <w:num w:numId="44">
    <w:abstractNumId w:val="25"/>
  </w:num>
  <w:num w:numId="45">
    <w:abstractNumId w:val="34"/>
  </w:num>
  <w:num w:numId="46">
    <w:abstractNumId w:val="26"/>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7A3B5E"/>
    <w:rsid w:val="0000085F"/>
    <w:rsid w:val="000023DF"/>
    <w:rsid w:val="00010991"/>
    <w:rsid w:val="00023320"/>
    <w:rsid w:val="000627E0"/>
    <w:rsid w:val="000642FB"/>
    <w:rsid w:val="00080DF1"/>
    <w:rsid w:val="000A665C"/>
    <w:rsid w:val="000B5F31"/>
    <w:rsid w:val="000B76CE"/>
    <w:rsid w:val="000C73FF"/>
    <w:rsid w:val="000D327C"/>
    <w:rsid w:val="000E44BB"/>
    <w:rsid w:val="000E75BB"/>
    <w:rsid w:val="000F6DF7"/>
    <w:rsid w:val="001201DE"/>
    <w:rsid w:val="0012404D"/>
    <w:rsid w:val="00166B38"/>
    <w:rsid w:val="00171F04"/>
    <w:rsid w:val="00172629"/>
    <w:rsid w:val="00175F53"/>
    <w:rsid w:val="00181022"/>
    <w:rsid w:val="001B342B"/>
    <w:rsid w:val="001E5AB0"/>
    <w:rsid w:val="001E747C"/>
    <w:rsid w:val="001F1087"/>
    <w:rsid w:val="001F5905"/>
    <w:rsid w:val="002132EB"/>
    <w:rsid w:val="00223173"/>
    <w:rsid w:val="00224779"/>
    <w:rsid w:val="00225855"/>
    <w:rsid w:val="002700C2"/>
    <w:rsid w:val="00295C12"/>
    <w:rsid w:val="00296EDC"/>
    <w:rsid w:val="00315231"/>
    <w:rsid w:val="00343831"/>
    <w:rsid w:val="00343A1C"/>
    <w:rsid w:val="00346850"/>
    <w:rsid w:val="003556A5"/>
    <w:rsid w:val="00362980"/>
    <w:rsid w:val="003908D1"/>
    <w:rsid w:val="00390C37"/>
    <w:rsid w:val="003943AE"/>
    <w:rsid w:val="003A144B"/>
    <w:rsid w:val="003C41C2"/>
    <w:rsid w:val="0042121E"/>
    <w:rsid w:val="004257D4"/>
    <w:rsid w:val="0043602D"/>
    <w:rsid w:val="0045663D"/>
    <w:rsid w:val="004609C7"/>
    <w:rsid w:val="004728F4"/>
    <w:rsid w:val="00473637"/>
    <w:rsid w:val="00473EC7"/>
    <w:rsid w:val="00495377"/>
    <w:rsid w:val="004A20AA"/>
    <w:rsid w:val="004A3F92"/>
    <w:rsid w:val="004A74D6"/>
    <w:rsid w:val="004B0271"/>
    <w:rsid w:val="004C768A"/>
    <w:rsid w:val="004D1612"/>
    <w:rsid w:val="004E1C8F"/>
    <w:rsid w:val="005178A6"/>
    <w:rsid w:val="00533B4C"/>
    <w:rsid w:val="005727BA"/>
    <w:rsid w:val="0059281E"/>
    <w:rsid w:val="00594564"/>
    <w:rsid w:val="005A5627"/>
    <w:rsid w:val="005A6E91"/>
    <w:rsid w:val="005D0FC8"/>
    <w:rsid w:val="005E08EF"/>
    <w:rsid w:val="005E20E1"/>
    <w:rsid w:val="00604D1C"/>
    <w:rsid w:val="00610C83"/>
    <w:rsid w:val="006312F4"/>
    <w:rsid w:val="00640333"/>
    <w:rsid w:val="006509BC"/>
    <w:rsid w:val="00660A2E"/>
    <w:rsid w:val="00673811"/>
    <w:rsid w:val="00675127"/>
    <w:rsid w:val="006774FF"/>
    <w:rsid w:val="006B3B17"/>
    <w:rsid w:val="006E2709"/>
    <w:rsid w:val="006F6378"/>
    <w:rsid w:val="00702C3B"/>
    <w:rsid w:val="007473C8"/>
    <w:rsid w:val="00761510"/>
    <w:rsid w:val="00784A32"/>
    <w:rsid w:val="00784BEF"/>
    <w:rsid w:val="00796566"/>
    <w:rsid w:val="007A2763"/>
    <w:rsid w:val="007A2E09"/>
    <w:rsid w:val="007A3B5E"/>
    <w:rsid w:val="007A3DD3"/>
    <w:rsid w:val="007B054E"/>
    <w:rsid w:val="007E2EE4"/>
    <w:rsid w:val="007E3F35"/>
    <w:rsid w:val="007F1503"/>
    <w:rsid w:val="008135E0"/>
    <w:rsid w:val="008158AF"/>
    <w:rsid w:val="00831296"/>
    <w:rsid w:val="00845E1E"/>
    <w:rsid w:val="00875829"/>
    <w:rsid w:val="008866B6"/>
    <w:rsid w:val="00893391"/>
    <w:rsid w:val="008B1D63"/>
    <w:rsid w:val="008B23A8"/>
    <w:rsid w:val="008C76E2"/>
    <w:rsid w:val="008F4C90"/>
    <w:rsid w:val="00906A17"/>
    <w:rsid w:val="00914873"/>
    <w:rsid w:val="009364EB"/>
    <w:rsid w:val="00963908"/>
    <w:rsid w:val="0096668A"/>
    <w:rsid w:val="00976B06"/>
    <w:rsid w:val="00982463"/>
    <w:rsid w:val="00985C61"/>
    <w:rsid w:val="00994FFE"/>
    <w:rsid w:val="00995D3B"/>
    <w:rsid w:val="009A69D6"/>
    <w:rsid w:val="009C16F3"/>
    <w:rsid w:val="009D0229"/>
    <w:rsid w:val="009E7769"/>
    <w:rsid w:val="009E78FD"/>
    <w:rsid w:val="009F6697"/>
    <w:rsid w:val="00A00250"/>
    <w:rsid w:val="00A52A4F"/>
    <w:rsid w:val="00A62CA2"/>
    <w:rsid w:val="00A73A37"/>
    <w:rsid w:val="00A916A8"/>
    <w:rsid w:val="00A978DF"/>
    <w:rsid w:val="00AB231C"/>
    <w:rsid w:val="00AB39BD"/>
    <w:rsid w:val="00AF2591"/>
    <w:rsid w:val="00B06E6A"/>
    <w:rsid w:val="00B25EF9"/>
    <w:rsid w:val="00B3241C"/>
    <w:rsid w:val="00B375AA"/>
    <w:rsid w:val="00B8076E"/>
    <w:rsid w:val="00BC5843"/>
    <w:rsid w:val="00BC6679"/>
    <w:rsid w:val="00BC6FBF"/>
    <w:rsid w:val="00BC7E70"/>
    <w:rsid w:val="00BD6BAF"/>
    <w:rsid w:val="00BE2233"/>
    <w:rsid w:val="00C136A4"/>
    <w:rsid w:val="00C35FA2"/>
    <w:rsid w:val="00C51FCA"/>
    <w:rsid w:val="00C53048"/>
    <w:rsid w:val="00C60963"/>
    <w:rsid w:val="00C60F28"/>
    <w:rsid w:val="00C8169D"/>
    <w:rsid w:val="00CA5BC1"/>
    <w:rsid w:val="00CB1BDA"/>
    <w:rsid w:val="00CD02F0"/>
    <w:rsid w:val="00CD698E"/>
    <w:rsid w:val="00CE1886"/>
    <w:rsid w:val="00CF7530"/>
    <w:rsid w:val="00D3710A"/>
    <w:rsid w:val="00D4669D"/>
    <w:rsid w:val="00D54FE6"/>
    <w:rsid w:val="00D57C73"/>
    <w:rsid w:val="00D70D34"/>
    <w:rsid w:val="00D80844"/>
    <w:rsid w:val="00D80E63"/>
    <w:rsid w:val="00D955CB"/>
    <w:rsid w:val="00DC491D"/>
    <w:rsid w:val="00DC5700"/>
    <w:rsid w:val="00DD609D"/>
    <w:rsid w:val="00DE48CC"/>
    <w:rsid w:val="00DE7024"/>
    <w:rsid w:val="00DF66D0"/>
    <w:rsid w:val="00E251A5"/>
    <w:rsid w:val="00E3243B"/>
    <w:rsid w:val="00E42AFF"/>
    <w:rsid w:val="00E505F6"/>
    <w:rsid w:val="00E77689"/>
    <w:rsid w:val="00E87078"/>
    <w:rsid w:val="00E91DDC"/>
    <w:rsid w:val="00E97663"/>
    <w:rsid w:val="00EA3114"/>
    <w:rsid w:val="00EA6BBE"/>
    <w:rsid w:val="00EA6D5A"/>
    <w:rsid w:val="00EC3841"/>
    <w:rsid w:val="00ED440B"/>
    <w:rsid w:val="00EF7D61"/>
    <w:rsid w:val="00F201F7"/>
    <w:rsid w:val="00F2121E"/>
    <w:rsid w:val="00F2322E"/>
    <w:rsid w:val="00F41543"/>
    <w:rsid w:val="00F5602D"/>
    <w:rsid w:val="00F5756A"/>
    <w:rsid w:val="00F80842"/>
    <w:rsid w:val="00FF6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3EA4C4"/>
  <w14:defaultImageDpi w14:val="300"/>
  <w15:docId w15:val="{0ED30104-426D-497C-9776-683A0660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1296"/>
    <w:pPr>
      <w:keepNext/>
      <w:numPr>
        <w:numId w:val="35"/>
      </w:numPr>
      <w:spacing w:before="120" w:after="200"/>
      <w:outlineLvl w:val="0"/>
    </w:pPr>
    <w:rPr>
      <w:rFonts w:ascii="Arial" w:eastAsia="Times" w:hAnsi="Arial" w:cs="Times New Roman"/>
      <w:b/>
      <w:caps/>
      <w:kern w:val="28"/>
    </w:rPr>
  </w:style>
  <w:style w:type="paragraph" w:styleId="Heading2">
    <w:name w:val="heading 2"/>
    <w:basedOn w:val="Normal"/>
    <w:next w:val="Normal"/>
    <w:link w:val="Heading2Char"/>
    <w:qFormat/>
    <w:rsid w:val="00831296"/>
    <w:pPr>
      <w:keepNext/>
      <w:numPr>
        <w:ilvl w:val="1"/>
        <w:numId w:val="35"/>
      </w:numPr>
      <w:spacing w:before="40" w:after="200"/>
      <w:outlineLvl w:val="1"/>
    </w:pPr>
    <w:rPr>
      <w:rFonts w:ascii="Arial" w:eastAsia="Times" w:hAnsi="Arial" w:cs="Times New Roman"/>
      <w:b/>
    </w:rPr>
  </w:style>
  <w:style w:type="paragraph" w:styleId="Heading3">
    <w:name w:val="heading 3"/>
    <w:basedOn w:val="Normal"/>
    <w:next w:val="Normal"/>
    <w:link w:val="Heading3Char"/>
    <w:qFormat/>
    <w:rsid w:val="00831296"/>
    <w:pPr>
      <w:keepNext/>
      <w:numPr>
        <w:ilvl w:val="2"/>
        <w:numId w:val="35"/>
      </w:numPr>
      <w:spacing w:before="40" w:after="120"/>
      <w:outlineLvl w:val="2"/>
    </w:pPr>
    <w:rPr>
      <w:rFonts w:eastAsia="Times" w:cs="Times New Roman"/>
      <w:b/>
    </w:rPr>
  </w:style>
  <w:style w:type="paragraph" w:styleId="Heading4">
    <w:name w:val="heading 4"/>
    <w:basedOn w:val="Normal"/>
    <w:next w:val="Normal"/>
    <w:link w:val="Heading4Char"/>
    <w:qFormat/>
    <w:rsid w:val="00831296"/>
    <w:pPr>
      <w:keepNext/>
      <w:numPr>
        <w:ilvl w:val="3"/>
        <w:numId w:val="35"/>
      </w:numPr>
      <w:spacing w:before="40" w:after="120"/>
      <w:outlineLvl w:val="3"/>
    </w:pPr>
    <w:rPr>
      <w:rFonts w:eastAsia="Times" w:cs="Times New Roman"/>
      <w:b/>
      <w:i/>
    </w:rPr>
  </w:style>
  <w:style w:type="paragraph" w:styleId="Heading5">
    <w:name w:val="heading 5"/>
    <w:basedOn w:val="Normal"/>
    <w:next w:val="Normal"/>
    <w:link w:val="Heading5Char"/>
    <w:qFormat/>
    <w:rsid w:val="00831296"/>
    <w:pPr>
      <w:widowControl w:val="0"/>
      <w:numPr>
        <w:ilvl w:val="4"/>
        <w:numId w:val="35"/>
      </w:numPr>
      <w:spacing w:before="240" w:after="60"/>
      <w:outlineLvl w:val="4"/>
    </w:pPr>
    <w:rPr>
      <w:rFonts w:eastAsia="Times New Roman" w:cs="Times New Roman"/>
      <w:b/>
      <w:i/>
      <w:snapToGrid w:val="0"/>
      <w:sz w:val="26"/>
    </w:rPr>
  </w:style>
  <w:style w:type="paragraph" w:styleId="Heading6">
    <w:name w:val="heading 6"/>
    <w:basedOn w:val="Normal"/>
    <w:next w:val="Normal"/>
    <w:link w:val="Heading6Char"/>
    <w:qFormat/>
    <w:rsid w:val="00831296"/>
    <w:pPr>
      <w:widowControl w:val="0"/>
      <w:numPr>
        <w:ilvl w:val="5"/>
        <w:numId w:val="35"/>
      </w:numPr>
      <w:spacing w:before="240" w:after="60"/>
      <w:outlineLvl w:val="5"/>
    </w:pPr>
    <w:rPr>
      <w:rFonts w:eastAsia="Times New Roman" w:cs="Times New Roman"/>
      <w:b/>
      <w:snapToGrid w:val="0"/>
      <w:sz w:val="22"/>
    </w:rPr>
  </w:style>
  <w:style w:type="paragraph" w:styleId="Heading7">
    <w:name w:val="heading 7"/>
    <w:basedOn w:val="Normal"/>
    <w:next w:val="Normal"/>
    <w:link w:val="Heading7Char"/>
    <w:qFormat/>
    <w:rsid w:val="00831296"/>
    <w:pPr>
      <w:widowControl w:val="0"/>
      <w:numPr>
        <w:ilvl w:val="6"/>
        <w:numId w:val="35"/>
      </w:numPr>
      <w:spacing w:before="240" w:after="60"/>
      <w:outlineLvl w:val="6"/>
    </w:pPr>
    <w:rPr>
      <w:rFonts w:eastAsia="Times New Roman" w:cs="Times New Roman"/>
      <w:snapToGrid w:val="0"/>
    </w:rPr>
  </w:style>
  <w:style w:type="paragraph" w:styleId="Heading8">
    <w:name w:val="heading 8"/>
    <w:basedOn w:val="Normal"/>
    <w:next w:val="Normal"/>
    <w:link w:val="Heading8Char"/>
    <w:qFormat/>
    <w:rsid w:val="00831296"/>
    <w:pPr>
      <w:widowControl w:val="0"/>
      <w:numPr>
        <w:ilvl w:val="7"/>
        <w:numId w:val="35"/>
      </w:numPr>
      <w:spacing w:before="240" w:after="60"/>
      <w:outlineLvl w:val="7"/>
    </w:pPr>
    <w:rPr>
      <w:rFonts w:eastAsia="Times New Roman" w:cs="Times New Roman"/>
      <w:i/>
      <w:snapToGrid w:val="0"/>
    </w:rPr>
  </w:style>
  <w:style w:type="paragraph" w:styleId="Heading9">
    <w:name w:val="heading 9"/>
    <w:basedOn w:val="Normal"/>
    <w:next w:val="Normal"/>
    <w:link w:val="Heading9Char"/>
    <w:qFormat/>
    <w:rsid w:val="00831296"/>
    <w:pPr>
      <w:widowControl w:val="0"/>
      <w:numPr>
        <w:ilvl w:val="8"/>
        <w:numId w:val="35"/>
      </w:numPr>
      <w:spacing w:before="240" w:after="60"/>
      <w:outlineLvl w:val="8"/>
    </w:pPr>
    <w:rPr>
      <w:rFonts w:ascii="Arial" w:eastAsia="Times New Roman" w:hAnsi="Arial" w:cs="Times New Roman"/>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B5E"/>
    <w:pPr>
      <w:tabs>
        <w:tab w:val="center" w:pos="4320"/>
        <w:tab w:val="right" w:pos="8640"/>
      </w:tabs>
    </w:pPr>
  </w:style>
  <w:style w:type="character" w:customStyle="1" w:styleId="HeaderChar">
    <w:name w:val="Header Char"/>
    <w:basedOn w:val="DefaultParagraphFont"/>
    <w:link w:val="Header"/>
    <w:uiPriority w:val="99"/>
    <w:rsid w:val="007A3B5E"/>
  </w:style>
  <w:style w:type="paragraph" w:styleId="Footer">
    <w:name w:val="footer"/>
    <w:basedOn w:val="Normal"/>
    <w:link w:val="FooterChar"/>
    <w:uiPriority w:val="99"/>
    <w:unhideWhenUsed/>
    <w:rsid w:val="007A3B5E"/>
    <w:pPr>
      <w:tabs>
        <w:tab w:val="center" w:pos="4320"/>
        <w:tab w:val="right" w:pos="8640"/>
      </w:tabs>
    </w:pPr>
  </w:style>
  <w:style w:type="character" w:customStyle="1" w:styleId="FooterChar">
    <w:name w:val="Footer Char"/>
    <w:basedOn w:val="DefaultParagraphFont"/>
    <w:link w:val="Footer"/>
    <w:uiPriority w:val="99"/>
    <w:rsid w:val="007A3B5E"/>
  </w:style>
  <w:style w:type="table" w:styleId="TableGrid">
    <w:name w:val="Table Grid"/>
    <w:basedOn w:val="TableNormal"/>
    <w:uiPriority w:val="59"/>
    <w:rsid w:val="007A3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5E1E"/>
    <w:pPr>
      <w:ind w:left="720"/>
      <w:contextualSpacing/>
    </w:pPr>
  </w:style>
  <w:style w:type="character" w:styleId="PageNumber">
    <w:name w:val="page number"/>
    <w:basedOn w:val="DefaultParagraphFont"/>
    <w:uiPriority w:val="99"/>
    <w:semiHidden/>
    <w:unhideWhenUsed/>
    <w:rsid w:val="00181022"/>
  </w:style>
  <w:style w:type="character" w:styleId="Hyperlink">
    <w:name w:val="Hyperlink"/>
    <w:basedOn w:val="DefaultParagraphFont"/>
    <w:uiPriority w:val="99"/>
    <w:unhideWhenUsed/>
    <w:rsid w:val="005727BA"/>
    <w:rPr>
      <w:color w:val="0000FF" w:themeColor="hyperlink"/>
      <w:u w:val="single"/>
    </w:rPr>
  </w:style>
  <w:style w:type="character" w:styleId="FollowedHyperlink">
    <w:name w:val="FollowedHyperlink"/>
    <w:basedOn w:val="DefaultParagraphFont"/>
    <w:uiPriority w:val="99"/>
    <w:semiHidden/>
    <w:unhideWhenUsed/>
    <w:rsid w:val="00BC6FBF"/>
    <w:rPr>
      <w:color w:val="800080" w:themeColor="followedHyperlink"/>
      <w:u w:val="single"/>
    </w:rPr>
  </w:style>
  <w:style w:type="character" w:styleId="CommentReference">
    <w:name w:val="annotation reference"/>
    <w:basedOn w:val="DefaultParagraphFont"/>
    <w:uiPriority w:val="99"/>
    <w:semiHidden/>
    <w:unhideWhenUsed/>
    <w:rsid w:val="007E3F35"/>
    <w:rPr>
      <w:sz w:val="16"/>
      <w:szCs w:val="16"/>
    </w:rPr>
  </w:style>
  <w:style w:type="paragraph" w:styleId="CommentText">
    <w:name w:val="annotation text"/>
    <w:basedOn w:val="Normal"/>
    <w:link w:val="CommentTextChar"/>
    <w:uiPriority w:val="99"/>
    <w:semiHidden/>
    <w:unhideWhenUsed/>
    <w:rsid w:val="007E3F35"/>
    <w:rPr>
      <w:sz w:val="20"/>
      <w:szCs w:val="20"/>
    </w:rPr>
  </w:style>
  <w:style w:type="character" w:customStyle="1" w:styleId="CommentTextChar">
    <w:name w:val="Comment Text Char"/>
    <w:basedOn w:val="DefaultParagraphFont"/>
    <w:link w:val="CommentText"/>
    <w:uiPriority w:val="99"/>
    <w:semiHidden/>
    <w:rsid w:val="007E3F35"/>
    <w:rPr>
      <w:sz w:val="20"/>
      <w:szCs w:val="20"/>
    </w:rPr>
  </w:style>
  <w:style w:type="paragraph" w:styleId="CommentSubject">
    <w:name w:val="annotation subject"/>
    <w:basedOn w:val="CommentText"/>
    <w:next w:val="CommentText"/>
    <w:link w:val="CommentSubjectChar"/>
    <w:uiPriority w:val="99"/>
    <w:semiHidden/>
    <w:unhideWhenUsed/>
    <w:rsid w:val="007E3F35"/>
    <w:rPr>
      <w:b/>
      <w:bCs/>
    </w:rPr>
  </w:style>
  <w:style w:type="character" w:customStyle="1" w:styleId="CommentSubjectChar">
    <w:name w:val="Comment Subject Char"/>
    <w:basedOn w:val="CommentTextChar"/>
    <w:link w:val="CommentSubject"/>
    <w:uiPriority w:val="99"/>
    <w:semiHidden/>
    <w:rsid w:val="007E3F35"/>
    <w:rPr>
      <w:b/>
      <w:bCs/>
      <w:sz w:val="20"/>
      <w:szCs w:val="20"/>
    </w:rPr>
  </w:style>
  <w:style w:type="paragraph" w:styleId="BalloonText">
    <w:name w:val="Balloon Text"/>
    <w:basedOn w:val="Normal"/>
    <w:link w:val="BalloonTextChar"/>
    <w:uiPriority w:val="99"/>
    <w:semiHidden/>
    <w:unhideWhenUsed/>
    <w:rsid w:val="007E3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35"/>
    <w:rPr>
      <w:rFonts w:ascii="Segoe UI" w:hAnsi="Segoe UI" w:cs="Segoe UI"/>
      <w:sz w:val="18"/>
      <w:szCs w:val="18"/>
    </w:rPr>
  </w:style>
  <w:style w:type="paragraph" w:styleId="ListBullet">
    <w:name w:val="List Bullet"/>
    <w:basedOn w:val="Normal"/>
    <w:uiPriority w:val="99"/>
    <w:semiHidden/>
    <w:unhideWhenUsed/>
    <w:rsid w:val="006509BC"/>
    <w:pPr>
      <w:numPr>
        <w:numId w:val="33"/>
      </w:numPr>
      <w:spacing w:after="160" w:line="259" w:lineRule="auto"/>
      <w:contextualSpacing/>
    </w:pPr>
    <w:rPr>
      <w:rFonts w:asciiTheme="minorHAnsi" w:eastAsiaTheme="minorHAnsi" w:hAnsiTheme="minorHAnsi"/>
      <w:sz w:val="22"/>
      <w:szCs w:val="22"/>
    </w:rPr>
  </w:style>
  <w:style w:type="character" w:customStyle="1" w:styleId="Heading1Char">
    <w:name w:val="Heading 1 Char"/>
    <w:basedOn w:val="DefaultParagraphFont"/>
    <w:link w:val="Heading1"/>
    <w:rsid w:val="00831296"/>
    <w:rPr>
      <w:rFonts w:ascii="Arial" w:eastAsia="Times" w:hAnsi="Arial" w:cs="Times New Roman"/>
      <w:b/>
      <w:caps/>
      <w:kern w:val="28"/>
    </w:rPr>
  </w:style>
  <w:style w:type="character" w:customStyle="1" w:styleId="Heading2Char">
    <w:name w:val="Heading 2 Char"/>
    <w:basedOn w:val="DefaultParagraphFont"/>
    <w:link w:val="Heading2"/>
    <w:rsid w:val="00831296"/>
    <w:rPr>
      <w:rFonts w:ascii="Arial" w:eastAsia="Times" w:hAnsi="Arial" w:cs="Times New Roman"/>
      <w:b/>
    </w:rPr>
  </w:style>
  <w:style w:type="character" w:customStyle="1" w:styleId="Heading3Char">
    <w:name w:val="Heading 3 Char"/>
    <w:basedOn w:val="DefaultParagraphFont"/>
    <w:link w:val="Heading3"/>
    <w:rsid w:val="00831296"/>
    <w:rPr>
      <w:rFonts w:eastAsia="Times" w:cs="Times New Roman"/>
      <w:b/>
    </w:rPr>
  </w:style>
  <w:style w:type="character" w:customStyle="1" w:styleId="Heading4Char">
    <w:name w:val="Heading 4 Char"/>
    <w:basedOn w:val="DefaultParagraphFont"/>
    <w:link w:val="Heading4"/>
    <w:rsid w:val="00831296"/>
    <w:rPr>
      <w:rFonts w:eastAsia="Times" w:cs="Times New Roman"/>
      <w:b/>
      <w:i/>
    </w:rPr>
  </w:style>
  <w:style w:type="character" w:customStyle="1" w:styleId="Heading5Char">
    <w:name w:val="Heading 5 Char"/>
    <w:basedOn w:val="DefaultParagraphFont"/>
    <w:link w:val="Heading5"/>
    <w:rsid w:val="00831296"/>
    <w:rPr>
      <w:rFonts w:eastAsia="Times New Roman" w:cs="Times New Roman"/>
      <w:b/>
      <w:i/>
      <w:snapToGrid w:val="0"/>
      <w:sz w:val="26"/>
    </w:rPr>
  </w:style>
  <w:style w:type="character" w:customStyle="1" w:styleId="Heading6Char">
    <w:name w:val="Heading 6 Char"/>
    <w:basedOn w:val="DefaultParagraphFont"/>
    <w:link w:val="Heading6"/>
    <w:rsid w:val="00831296"/>
    <w:rPr>
      <w:rFonts w:eastAsia="Times New Roman" w:cs="Times New Roman"/>
      <w:b/>
      <w:snapToGrid w:val="0"/>
      <w:sz w:val="22"/>
    </w:rPr>
  </w:style>
  <w:style w:type="character" w:customStyle="1" w:styleId="Heading7Char">
    <w:name w:val="Heading 7 Char"/>
    <w:basedOn w:val="DefaultParagraphFont"/>
    <w:link w:val="Heading7"/>
    <w:rsid w:val="00831296"/>
    <w:rPr>
      <w:rFonts w:eastAsia="Times New Roman" w:cs="Times New Roman"/>
      <w:snapToGrid w:val="0"/>
    </w:rPr>
  </w:style>
  <w:style w:type="character" w:customStyle="1" w:styleId="Heading8Char">
    <w:name w:val="Heading 8 Char"/>
    <w:basedOn w:val="DefaultParagraphFont"/>
    <w:link w:val="Heading8"/>
    <w:rsid w:val="00831296"/>
    <w:rPr>
      <w:rFonts w:eastAsia="Times New Roman" w:cs="Times New Roman"/>
      <w:i/>
      <w:snapToGrid w:val="0"/>
    </w:rPr>
  </w:style>
  <w:style w:type="character" w:customStyle="1" w:styleId="Heading9Char">
    <w:name w:val="Heading 9 Char"/>
    <w:basedOn w:val="DefaultParagraphFont"/>
    <w:link w:val="Heading9"/>
    <w:rsid w:val="00831296"/>
    <w:rPr>
      <w:rFonts w:ascii="Arial" w:eastAsia="Times New Roman" w:hAnsi="Arial" w:cs="Times New Roman"/>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wmcare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D6048-8D3C-456F-8A87-EE43A9B1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William Carey University</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Lockley;denning</dc:creator>
  <cp:keywords/>
  <dc:description/>
  <cp:lastModifiedBy>Roberts, Jalynn</cp:lastModifiedBy>
  <cp:revision>2</cp:revision>
  <cp:lastPrinted>2019-02-06T21:14:00Z</cp:lastPrinted>
  <dcterms:created xsi:type="dcterms:W3CDTF">2019-03-26T16:34:00Z</dcterms:created>
  <dcterms:modified xsi:type="dcterms:W3CDTF">2019-03-26T16:34:00Z</dcterms:modified>
</cp:coreProperties>
</file>